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DBA8" w14:textId="40B607D8" w:rsidR="00D15BCD" w:rsidRDefault="00D15BCD" w:rsidP="00A942FF">
      <w:pPr>
        <w:jc w:val="right"/>
      </w:pPr>
      <w:r>
        <w:rPr>
          <w:b/>
        </w:rPr>
        <w:t>ACCESSION NO:</w:t>
      </w:r>
      <w:r>
        <w:t xml:space="preserve">  202</w:t>
      </w:r>
      <w:r w:rsidR="005A6278">
        <w:t>4</w:t>
      </w:r>
      <w:r>
        <w:t>-</w:t>
      </w:r>
      <w:r w:rsidR="00001532">
        <w:t>00</w:t>
      </w:r>
      <w:r w:rsidR="00A977FD">
        <w:t>18</w:t>
      </w:r>
    </w:p>
    <w:p w14:paraId="1B4E56D7" w14:textId="77777777" w:rsidR="00506731" w:rsidRDefault="00506731"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5DAE93EC" w14:textId="657D846E"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ALASKA DEPARTMENT OF FISH AND GAME</w:t>
      </w:r>
    </w:p>
    <w:p w14:paraId="0D6DA10D"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caps/>
        </w:rPr>
        <w:t>Division of Commercial Fisheries</w:t>
      </w:r>
      <w:r>
        <w:rPr>
          <w:b/>
        </w:rPr>
        <w:t xml:space="preserve"> - FISH PATHOLOGY SECTION</w:t>
      </w:r>
    </w:p>
    <w:p w14:paraId="41C81AC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 xml:space="preserve">333 RASPBERRY ROAD, ANCHORAGE, AK  99518-1599 </w:t>
      </w:r>
      <w:r>
        <w:rPr>
          <w:b/>
          <w:sz w:val="18"/>
        </w:rPr>
        <w:t xml:space="preserve">- </w:t>
      </w:r>
      <w:r>
        <w:rPr>
          <w:b/>
        </w:rPr>
        <w:t>Phone (907) 267-2244/Fax 267-2194</w:t>
      </w:r>
    </w:p>
    <w:p w14:paraId="34B93BAF"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p>
    <w:p w14:paraId="4133832A"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jc w:val="center"/>
        <w:rPr>
          <w:b/>
        </w:rPr>
      </w:pPr>
      <w:r>
        <w:rPr>
          <w:b/>
        </w:rPr>
        <w:t>REPORT OF LABORATORY EXAMINATION</w:t>
      </w:r>
    </w:p>
    <w:p w14:paraId="703BACE2" w14:textId="77777777" w:rsidR="00D15BCD" w:rsidRDefault="00D15BCD" w:rsidP="00D15B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rPr>
          <w:b/>
        </w:rPr>
      </w:pPr>
    </w:p>
    <w:p w14:paraId="3C645702" w14:textId="0EB33C5A" w:rsidR="00D15BCD" w:rsidRPr="00A977F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rPr>
          <w:b/>
        </w:rPr>
        <w:t>LOT (YEAR, STOCK, SPECIES)</w:t>
      </w:r>
      <w:r>
        <w:t>:</w:t>
      </w:r>
      <w:r w:rsidR="00144C72">
        <w:t xml:space="preserve"> </w:t>
      </w:r>
      <w:r w:rsidR="00A977FD">
        <w:t>Yukon R</w:t>
      </w:r>
      <w:r w:rsidR="00506731">
        <w:t>iver</w:t>
      </w:r>
      <w:r w:rsidR="00A977FD">
        <w:t xml:space="preserve"> </w:t>
      </w:r>
      <w:r w:rsidR="00506731">
        <w:t>C</w:t>
      </w:r>
      <w:r w:rsidR="00A977FD">
        <w:t>hinook</w:t>
      </w:r>
      <w:r w:rsidR="00506731">
        <w:t xml:space="preserve"> salmon</w:t>
      </w:r>
      <w:r w:rsidR="00A977FD">
        <w:t xml:space="preserve">, </w:t>
      </w:r>
      <w:r w:rsidR="00506731">
        <w:rPr>
          <w:i/>
          <w:iCs/>
        </w:rPr>
        <w:t>Oncorhynchus</w:t>
      </w:r>
      <w:r w:rsidR="00A977FD">
        <w:rPr>
          <w:i/>
          <w:iCs/>
        </w:rPr>
        <w:t xml:space="preserve"> tshawytscha</w:t>
      </w:r>
    </w:p>
    <w:p w14:paraId="706AB9C5" w14:textId="77777777" w:rsidR="00D15BCD" w:rsidRPr="00C51CBA"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3096" w:hanging="3096"/>
      </w:pPr>
      <w:r>
        <w:tab/>
      </w:r>
      <w:r>
        <w:tab/>
      </w:r>
      <w:r>
        <w:tab/>
      </w:r>
      <w:r>
        <w:tab/>
      </w:r>
      <w:r>
        <w:tab/>
      </w:r>
      <w:r>
        <w:tab/>
      </w:r>
      <w:r>
        <w:tab/>
      </w:r>
      <w:r w:rsidRPr="006F6A49">
        <w:rPr>
          <w:i/>
        </w:rPr>
        <w:t xml:space="preserve"> </w:t>
      </w:r>
    </w:p>
    <w:p w14:paraId="4965B6CC" w14:textId="5D87A653"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1440" w:hanging="1440"/>
      </w:pPr>
      <w:r>
        <w:rPr>
          <w:b/>
        </w:rPr>
        <w:t>FACILITY</w:t>
      </w:r>
      <w:r>
        <w:t>:</w:t>
      </w:r>
      <w:r w:rsidR="00506731">
        <w:t xml:space="preserve"> ADF&amp;G Division of Commercial Fisheries, Arctic-Yukon-Kuskokwim region</w:t>
      </w:r>
      <w:r w:rsidR="0048035E">
        <w:t xml:space="preserve"> </w:t>
      </w:r>
    </w:p>
    <w:p w14:paraId="5E22903E"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F047615" w14:textId="24890108" w:rsidR="00D15BCD" w:rsidRDefault="00D15BCD" w:rsidP="00D15BCD">
      <w:pPr>
        <w:tabs>
          <w:tab w:val="left" w:pos="288"/>
        </w:tabs>
        <w:ind w:left="3240" w:hanging="3240"/>
      </w:pPr>
      <w:r>
        <w:rPr>
          <w:b/>
        </w:rPr>
        <w:t>CONTACT PERSON/ADDRESS</w:t>
      </w:r>
      <w:r>
        <w:t>:</w:t>
      </w:r>
      <w:r w:rsidR="00506731">
        <w:t xml:space="preserve"> Zach Liller, 333 Raspberry Rd., Anchorage, AK 99518</w:t>
      </w:r>
      <w:r w:rsidR="007E2C17">
        <w:t xml:space="preserve"> </w:t>
      </w:r>
    </w:p>
    <w:p w14:paraId="1933027C" w14:textId="77777777" w:rsidR="00D15BCD" w:rsidRPr="003E1DEF" w:rsidRDefault="00D15BCD" w:rsidP="00D15BCD">
      <w:pPr>
        <w:tabs>
          <w:tab w:val="left" w:pos="288"/>
        </w:tabs>
        <w:ind w:left="3240" w:hanging="3240"/>
      </w:pPr>
      <w:r>
        <w:t xml:space="preserve">  </w:t>
      </w:r>
    </w:p>
    <w:p w14:paraId="0D40A0E5" w14:textId="2B22988F" w:rsidR="009B3A98" w:rsidRDefault="009B3A98" w:rsidP="00BF3A88">
      <w:pPr>
        <w:tabs>
          <w:tab w:val="left" w:pos="1440"/>
          <w:tab w:val="left" w:pos="2160"/>
          <w:tab w:val="left" w:pos="2880"/>
          <w:tab w:val="left" w:pos="3240"/>
          <w:tab w:val="left" w:pos="3600"/>
          <w:tab w:val="left" w:pos="3744"/>
          <w:tab w:val="left" w:pos="3960"/>
          <w:tab w:val="left" w:pos="4320"/>
          <w:tab w:val="left" w:pos="4680"/>
          <w:tab w:val="left" w:pos="5040"/>
          <w:tab w:val="left" w:pos="5760"/>
        </w:tabs>
        <w:rPr>
          <w:b/>
        </w:rPr>
      </w:pPr>
      <w:r>
        <w:rPr>
          <w:b/>
        </w:rPr>
        <w:t>SAMPLE DATE</w:t>
      </w:r>
      <w:r>
        <w:t>: 7/19/23</w:t>
      </w:r>
      <w:r>
        <w:rPr>
          <w:b/>
        </w:rPr>
        <w:tab/>
      </w:r>
      <w:r>
        <w:rPr>
          <w:b/>
        </w:rPr>
        <w:tab/>
      </w:r>
      <w:r>
        <w:rPr>
          <w:b/>
        </w:rPr>
        <w:tab/>
      </w:r>
      <w:r>
        <w:rPr>
          <w:b/>
        </w:rPr>
        <w:tab/>
        <w:t>DATE SAMPLE RECEIVED</w:t>
      </w:r>
      <w:r>
        <w:t>: 8/17/23</w:t>
      </w:r>
    </w:p>
    <w:p w14:paraId="76B00343" w14:textId="77777777" w:rsidR="009B3A98" w:rsidRDefault="009B3A98" w:rsidP="00BF3A88">
      <w:pPr>
        <w:tabs>
          <w:tab w:val="left" w:pos="1440"/>
          <w:tab w:val="left" w:pos="2160"/>
          <w:tab w:val="left" w:pos="2880"/>
          <w:tab w:val="left" w:pos="3240"/>
          <w:tab w:val="left" w:pos="3600"/>
          <w:tab w:val="left" w:pos="3744"/>
          <w:tab w:val="left" w:pos="3960"/>
          <w:tab w:val="left" w:pos="4320"/>
          <w:tab w:val="left" w:pos="4680"/>
          <w:tab w:val="left" w:pos="5040"/>
          <w:tab w:val="left" w:pos="5760"/>
        </w:tabs>
        <w:rPr>
          <w:b/>
        </w:rPr>
      </w:pPr>
    </w:p>
    <w:p w14:paraId="46C91FF2" w14:textId="395D5ABC" w:rsidR="00BF3A88" w:rsidRDefault="00BF3A88" w:rsidP="00BF3A88">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SPECIMEN TYPE</w:t>
      </w:r>
      <w:r>
        <w:t xml:space="preserve">: </w:t>
      </w:r>
      <w:r w:rsidR="009B3A98">
        <w:t xml:space="preserve">Inoculum </w:t>
      </w:r>
      <w:r w:rsidR="009B3A98">
        <w:tab/>
      </w:r>
      <w:r w:rsidR="009B3A98">
        <w:tab/>
      </w:r>
      <w:r w:rsidR="009B3A98">
        <w:tab/>
      </w:r>
      <w:r w:rsidR="009B3A98">
        <w:tab/>
      </w:r>
      <w:r>
        <w:rPr>
          <w:b/>
        </w:rPr>
        <w:t>LIFE STAGE</w:t>
      </w:r>
      <w:r>
        <w:t>: Adult</w:t>
      </w:r>
      <w:r>
        <w:tab/>
      </w:r>
      <w:r>
        <w:tab/>
      </w:r>
      <w:r>
        <w:tab/>
      </w:r>
      <w:r>
        <w:tab/>
      </w:r>
      <w:r w:rsidR="009B3A98">
        <w:tab/>
      </w:r>
      <w:r w:rsidR="009B3A98">
        <w:tab/>
      </w:r>
      <w:r w:rsidR="009B3A98">
        <w:tab/>
      </w:r>
      <w:r w:rsidR="009B3A98">
        <w:tab/>
      </w:r>
      <w:r w:rsidR="009B3A98">
        <w:tab/>
      </w:r>
      <w:r w:rsidR="009B3A98">
        <w:tab/>
      </w:r>
      <w:r>
        <w:rPr>
          <w:b/>
        </w:rPr>
        <w:t>WILD</w:t>
      </w:r>
      <w:r>
        <w:t>:</w:t>
      </w:r>
      <w:r>
        <w:tab/>
        <w:t xml:space="preserve"> Yes </w:t>
      </w:r>
    </w:p>
    <w:p w14:paraId="22A24E28"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479D1040" w14:textId="40616EB6"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NUMBER OF SAMPLES</w:t>
      </w:r>
      <w:r w:rsidR="00823FC7">
        <w:t xml:space="preserve">: </w:t>
      </w:r>
      <w:r w:rsidR="009B3A98">
        <w:t>2 (1 high dose and 1 low dose)</w:t>
      </w:r>
    </w:p>
    <w:p w14:paraId="6F85382C" w14:textId="77777777"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p>
    <w:p w14:paraId="64C8D06A" w14:textId="097C721F" w:rsidR="00D15BCD" w:rsidRDefault="00D15BCD" w:rsidP="00D15BCD">
      <w:pPr>
        <w:tabs>
          <w:tab w:val="left" w:pos="1440"/>
          <w:tab w:val="left" w:pos="2160"/>
          <w:tab w:val="left" w:pos="2880"/>
          <w:tab w:val="left" w:pos="3240"/>
          <w:tab w:val="left" w:pos="3600"/>
          <w:tab w:val="left" w:pos="3744"/>
          <w:tab w:val="left" w:pos="3960"/>
          <w:tab w:val="left" w:pos="4320"/>
          <w:tab w:val="left" w:pos="4680"/>
          <w:tab w:val="left" w:pos="5040"/>
          <w:tab w:val="left" w:pos="5760"/>
        </w:tabs>
      </w:pPr>
      <w:r>
        <w:rPr>
          <w:b/>
        </w:rPr>
        <w:t>STATE</w:t>
      </w:r>
      <w:r>
        <w:t>:</w:t>
      </w:r>
      <w:r w:rsidR="007E2C17">
        <w:t xml:space="preserve"> </w:t>
      </w:r>
      <w:r w:rsidR="00697782">
        <w:t>Chilled</w:t>
      </w:r>
      <w:r w:rsidR="00901EA9">
        <w:t xml:space="preserve"> in MEM</w:t>
      </w:r>
    </w:p>
    <w:p w14:paraId="06F06A06" w14:textId="77777777" w:rsidR="00D15BCD" w:rsidRDefault="00D15BCD"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0201FA8" w14:textId="2E47638B" w:rsidR="004A3B37" w:rsidRDefault="00D15BCD"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HISTORY/SIGNS</w:t>
      </w:r>
      <w:r>
        <w:t>:</w:t>
      </w:r>
      <w:r w:rsidR="00E353B0">
        <w:t xml:space="preserve"> </w:t>
      </w:r>
      <w:r w:rsidR="00697782">
        <w:t xml:space="preserve">Heart explant cultures were collected from Yukon Chinook salmon at Pilot Station </w:t>
      </w:r>
      <w:r w:rsidR="004A3B37">
        <w:t xml:space="preserve">from 6/28-7/6/23 </w:t>
      </w:r>
      <w:r w:rsidR="00697782">
        <w:t xml:space="preserve">as part of the larger </w:t>
      </w:r>
      <w:r w:rsidR="00697782" w:rsidRPr="00697782">
        <w:rPr>
          <w:i/>
          <w:iCs/>
        </w:rPr>
        <w:t>Ichthyophonus</w:t>
      </w:r>
      <w:r w:rsidR="00697782">
        <w:t xml:space="preserve"> study and represents samples collected from Fish #’s 75-117. Liver/Kidney/Spleen/GI tract were collected from </w:t>
      </w:r>
      <w:r w:rsidR="004A3B37">
        <w:t xml:space="preserve">four </w:t>
      </w:r>
      <w:r w:rsidR="00697782">
        <w:t>Yukon Chinook salmon at Rampart Rapids</w:t>
      </w:r>
      <w:r w:rsidR="004A3B37">
        <w:t xml:space="preserve"> from 7/6/-7/23</w:t>
      </w:r>
      <w:r w:rsidR="00697782">
        <w:t>.</w:t>
      </w:r>
      <w:r w:rsidR="004A3B37">
        <w:t xml:space="preserve"> Viscera from burbot were also collected from the river. All this material was sent to Dr. Paul Hershberger at the USGS’s </w:t>
      </w:r>
      <w:proofErr w:type="spellStart"/>
      <w:r w:rsidR="004A3B37">
        <w:t>Marrowstone</w:t>
      </w:r>
      <w:proofErr w:type="spellEnd"/>
      <w:r w:rsidR="004A3B37">
        <w:t xml:space="preserve"> Field Station for a pilot study to experimentally infect juvenile Chinook salmon with the Yukon River strain of </w:t>
      </w:r>
      <w:r w:rsidR="004A3B37" w:rsidRPr="004A3B37">
        <w:rPr>
          <w:i/>
          <w:iCs/>
        </w:rPr>
        <w:t>Ichthyophonus</w:t>
      </w:r>
      <w:r w:rsidR="004A3B37">
        <w:t xml:space="preserve"> as part of ongoing investigations on the impact of this parasite on Yukon River Chinook salmon. The burbot tissues arrived warm and autolyzed but were assessed for infection by wet mount and found to be negative so this material was excluded from the study. The Chinook salmon viscera and heart explant tissue samples arrived in good order and were utilized </w:t>
      </w:r>
      <w:r w:rsidR="0074631D">
        <w:t>for experimental challenges.</w:t>
      </w:r>
    </w:p>
    <w:p w14:paraId="18916027" w14:textId="77777777" w:rsidR="004A3B37" w:rsidRDefault="004A3B37"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65399E98" w14:textId="77777777" w:rsidR="0064491A" w:rsidRDefault="0064491A"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Ship Creek Chinook salmon smolts were challenged with the parasite via intraperitoneal (IP) injection and per </w:t>
      </w:r>
      <w:proofErr w:type="spellStart"/>
      <w:r>
        <w:t>os</w:t>
      </w:r>
      <w:proofErr w:type="spellEnd"/>
      <w:r>
        <w:t xml:space="preserve">. </w:t>
      </w:r>
      <w:r w:rsidR="004A3B37">
        <w:t xml:space="preserve">Approximately 100 Ship Creek Chinook salmon smolts were transported from the WJ Hernandez Sport Fish Hatchery in Anchorage, AK to Dr. Hershberger’s lab in </w:t>
      </w:r>
      <w:proofErr w:type="spellStart"/>
      <w:r w:rsidR="004A3B37">
        <w:t>Marrowstone</w:t>
      </w:r>
      <w:proofErr w:type="spellEnd"/>
      <w:r w:rsidR="004A3B37">
        <w:t xml:space="preserve"> WA. </w:t>
      </w:r>
      <w:r>
        <w:t xml:space="preserve">There were no transport mortalities and fish were immediately vaccinated against </w:t>
      </w:r>
      <w:r w:rsidRPr="0064491A">
        <w:rPr>
          <w:i/>
          <w:iCs/>
        </w:rPr>
        <w:t>Vibrio anguillarum</w:t>
      </w:r>
      <w:r w:rsidRPr="0064491A">
        <w:t xml:space="preserve"> and </w:t>
      </w:r>
      <w:r w:rsidRPr="0064491A">
        <w:rPr>
          <w:i/>
          <w:iCs/>
        </w:rPr>
        <w:t xml:space="preserve">V. </w:t>
      </w:r>
      <w:proofErr w:type="spellStart"/>
      <w:r w:rsidRPr="0064491A">
        <w:rPr>
          <w:i/>
          <w:iCs/>
        </w:rPr>
        <w:t>ordalii</w:t>
      </w:r>
      <w:proofErr w:type="spellEnd"/>
      <w:r w:rsidRPr="0064491A">
        <w:t xml:space="preserve"> by bath immersion</w:t>
      </w:r>
      <w:r>
        <w:t>. These fish arrived on station on June 5</w:t>
      </w:r>
      <w:r w:rsidRPr="0064491A">
        <w:rPr>
          <w:vertAlign w:val="superscript"/>
        </w:rPr>
        <w:t>th</w:t>
      </w:r>
      <w:r>
        <w:t xml:space="preserve"> and had successfully transitioned to full strength seawater (29 ppt) by June 9</w:t>
      </w:r>
      <w:r w:rsidRPr="0064491A">
        <w:rPr>
          <w:vertAlign w:val="superscript"/>
        </w:rPr>
        <w:t>th</w:t>
      </w:r>
      <w:r>
        <w:t xml:space="preserve">. </w:t>
      </w:r>
      <w:r w:rsidR="004A3B37">
        <w:t xml:space="preserve"> </w:t>
      </w:r>
    </w:p>
    <w:p w14:paraId="587C7D65" w14:textId="77777777" w:rsidR="0074631D" w:rsidRDefault="0074631D"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2EDB4EDD" w14:textId="1561CCAE" w:rsidR="00BB2376" w:rsidRDefault="0074631D"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Forty-three heart explant culture samples were received at Dr. Hershberger’s lab on 7/11/23 where he screened these samples under an inverted microscope and determined that 15 of them contained viable </w:t>
      </w:r>
      <w:r w:rsidRPr="0074631D">
        <w:rPr>
          <w:i/>
          <w:iCs/>
        </w:rPr>
        <w:t>Ichthyophonus</w:t>
      </w:r>
      <w:r>
        <w:t xml:space="preserve"> parasites (34.9% prevalence). These were pooled, large chunks of heart were macerated, and the material was washed several times. The prepared inoculum was stored overnight in MEM-5T+A</w:t>
      </w:r>
      <w:r w:rsidR="000E377D">
        <w:t xml:space="preserve"> (MEM-5 </w:t>
      </w:r>
      <w:r w:rsidR="000E377D" w:rsidRPr="00415B23">
        <w:t>with tris and antibiotics)</w:t>
      </w:r>
      <w:r w:rsidRPr="00415B23">
        <w:t xml:space="preserve"> at 15</w:t>
      </w:r>
      <w:r w:rsidRPr="00415B23">
        <w:rPr>
          <w:rFonts w:cs="Arial"/>
        </w:rPr>
        <w:t>°</w:t>
      </w:r>
      <w:r w:rsidRPr="00415B23">
        <w:t xml:space="preserve">C. The media was replaced the next day with TAP </w:t>
      </w:r>
      <w:r w:rsidR="000E377D" w:rsidRPr="00415B23">
        <w:t xml:space="preserve">(MEM without any supplements) </w:t>
      </w:r>
      <w:r w:rsidRPr="00415B23">
        <w:t>prior to injection. Fish were split into three groups comprised of three tanks containing 10 fish each: 1) negative/sham injected control (10</w:t>
      </w:r>
      <w:r w:rsidRPr="00415B23">
        <w:rPr>
          <w:rFonts w:cs="Arial"/>
        </w:rPr>
        <w:t>µ</w:t>
      </w:r>
      <w:r w:rsidRPr="00415B23">
        <w:t>l of TAP), 2) high dose (407 schizonts/100</w:t>
      </w:r>
      <w:r w:rsidRPr="00415B23">
        <w:rPr>
          <w:rFonts w:cs="Arial"/>
        </w:rPr>
        <w:t>µ</w:t>
      </w:r>
      <w:r w:rsidRPr="00415B23">
        <w:t>l), and 3) low dose (102 schizonts/100</w:t>
      </w:r>
      <w:r w:rsidRPr="00415B23">
        <w:rPr>
          <w:rFonts w:cs="Arial"/>
        </w:rPr>
        <w:t>µ</w:t>
      </w:r>
      <w:r w:rsidRPr="00415B23">
        <w:t xml:space="preserve">l). For the per </w:t>
      </w:r>
      <w:proofErr w:type="spellStart"/>
      <w:r w:rsidRPr="00415B23">
        <w:t>os</w:t>
      </w:r>
      <w:proofErr w:type="spellEnd"/>
      <w:r w:rsidRPr="00415B23">
        <w:t xml:space="preserve"> challenge, viscera from </w:t>
      </w:r>
      <w:r w:rsidR="00654E0F" w:rsidRPr="00415B23">
        <w:t>four Chinook salmon collected at Rampart Rapids (one with gross lesions) were received at Dr. Hershberger’s lab on 7/12/23 and assessed for infection via wet mounts the following day. Liver, spleen, and kidney were found to be the most heavily infected tissues so approximately 240g of this material was p</w:t>
      </w:r>
      <w:r w:rsidR="00E22447" w:rsidRPr="00415B23">
        <w:t>o</w:t>
      </w:r>
      <w:r w:rsidR="009E0BBA" w:rsidRPr="00415B23">
        <w:t>o</w:t>
      </w:r>
      <w:r w:rsidR="00654E0F" w:rsidRPr="00415B23">
        <w:t>led, macerate</w:t>
      </w:r>
      <w:r w:rsidR="00E22447" w:rsidRPr="00415B23">
        <w:t>d</w:t>
      </w:r>
      <w:r w:rsidR="00654E0F" w:rsidRPr="00415B23">
        <w:t xml:space="preserve">, and divided </w:t>
      </w:r>
      <w:r w:rsidR="00347026" w:rsidRPr="00415B23">
        <w:t>to feed the Chinook salmon smolts in each of the three replicate tanks of 10 smolts each. Fish in each of three tanks were initially fed 15g of pooled tissues based on estimated fish body weights of approximately 15g each that equated to 150g of fish/tank and a feeding rate of 10% body weight/day.</w:t>
      </w:r>
      <w:r w:rsidR="00654E0F" w:rsidRPr="00415B23">
        <w:t xml:space="preserve"> The fish reportedly consumed the first few bites of tissues aggressively, but then appeared to reduce their feed response. There was an abundance of remaining tissues at the bottom of the tank after feeding had commenced. Fish were fed out an additional 15g/tank/day until the tissues were completely utilized (approximately 5.3 </w:t>
      </w:r>
      <w:r w:rsidR="00654E0F">
        <w:lastRenderedPageBreak/>
        <w:t>days). Wet mounts were assessed on a subsample of the infected tissues fed to fish for several of the feeding days where germinating schizonts were present and appeared intact and pigmented. The last feeding of infected tissues represented 11 days post-collection at Rampart Rapids.</w:t>
      </w:r>
      <w:r w:rsidR="007A5454">
        <w:t xml:space="preserve"> Fish were held up to 30 days post-</w:t>
      </w:r>
      <w:r w:rsidR="00B3203B">
        <w:t>challenge where fish were subsampled throughout the experiment for re-isolation of the parasite by heart explant culture.</w:t>
      </w:r>
      <w:r w:rsidR="00BB2376">
        <w:t xml:space="preserve"> There was approximately 36.7% mortality in the high-dose IP </w:t>
      </w:r>
      <w:r w:rsidR="00F12246">
        <w:t xml:space="preserve">injection </w:t>
      </w:r>
      <w:r w:rsidR="00BB2376">
        <w:t xml:space="preserve">group (11 of 30 fish) and 3.3% </w:t>
      </w:r>
      <w:r w:rsidR="00BB2376" w:rsidRPr="00F12246">
        <w:t xml:space="preserve">for </w:t>
      </w:r>
      <w:r w:rsidR="00415B23" w:rsidRPr="00F12246">
        <w:t xml:space="preserve">the </w:t>
      </w:r>
      <w:r w:rsidR="00BB2376">
        <w:t>feed challenge group</w:t>
      </w:r>
      <w:r w:rsidR="00415B23">
        <w:t xml:space="preserve"> with an unknown dosage</w:t>
      </w:r>
      <w:r w:rsidR="00BB2376">
        <w:t xml:space="preserve"> (1 of 30 fish). The parasite was re-isolated </w:t>
      </w:r>
      <w:r w:rsidR="00BC1142">
        <w:t xml:space="preserve">in explant culture </w:t>
      </w:r>
      <w:r w:rsidR="00BB2376">
        <w:t xml:space="preserve">from 3 fish in the high-dose IP group at 7, 10, and 30-days post-exposure, respectively. All other mortalities were test-negative for the parasite as were the remainder of the fish at the end of the 70-day trial. </w:t>
      </w:r>
    </w:p>
    <w:p w14:paraId="71D99976" w14:textId="77777777" w:rsidR="00654E0F" w:rsidRDefault="00654E0F"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79310074" w14:textId="414DFD16" w:rsidR="00D15BCD" w:rsidRDefault="00654E0F" w:rsidP="00D15BCD">
      <w:pPr>
        <w:tabs>
          <w:tab w:val="left" w:pos="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The inoculum used for </w:t>
      </w:r>
      <w:r w:rsidR="00905FAF">
        <w:t xml:space="preserve">the high and low dose </w:t>
      </w:r>
      <w:r>
        <w:t>IP injection</w:t>
      </w:r>
      <w:r w:rsidR="00905FAF">
        <w:t>s</w:t>
      </w:r>
      <w:r>
        <w:t xml:space="preserve"> were submitted to the Fish Pathology Lab to estimate the dosage based on gene copy numbers via qPCR as a standardized </w:t>
      </w:r>
      <w:r w:rsidR="00905FAF">
        <w:t>assessment.</w:t>
      </w:r>
      <w:r w:rsidR="009B2F60">
        <w:t xml:space="preserve"> </w:t>
      </w:r>
      <w:r w:rsidR="004C1FDF">
        <w:t>Unfortunately,</w:t>
      </w:r>
      <w:r w:rsidR="009B2F60">
        <w:t xml:space="preserve"> tissues from the fish were not collected </w:t>
      </w:r>
      <w:r w:rsidR="004C1FDF">
        <w:t xml:space="preserve">for qPCR testing and histopathology due to abruptly terminating the experiment because of an impending </w:t>
      </w:r>
      <w:r w:rsidR="00BC1142">
        <w:t xml:space="preserve">federal government </w:t>
      </w:r>
      <w:r w:rsidR="004C1FDF">
        <w:t>shutdown</w:t>
      </w:r>
      <w:r w:rsidR="00BC1142">
        <w:t>.</w:t>
      </w:r>
    </w:p>
    <w:p w14:paraId="67EB51A2"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49A7987B" w14:textId="49651E12" w:rsidR="00D15BCD" w:rsidRPr="00325F01"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ind w:left="2880" w:hanging="2880"/>
      </w:pPr>
      <w:r>
        <w:rPr>
          <w:b/>
        </w:rPr>
        <w:t>REASON FOR SUBMISSION</w:t>
      </w:r>
      <w:r>
        <w:t xml:space="preserve">: </w:t>
      </w:r>
      <w:r w:rsidR="00905FAF">
        <w:tab/>
        <w:t xml:space="preserve">Estimate dosage of high and low dose </w:t>
      </w:r>
      <w:proofErr w:type="spellStart"/>
      <w:r w:rsidR="00905FAF">
        <w:t>inocula</w:t>
      </w:r>
      <w:proofErr w:type="spellEnd"/>
      <w:r w:rsidR="00905FAF">
        <w:t xml:space="preserve"> for </w:t>
      </w:r>
      <w:proofErr w:type="spellStart"/>
      <w:r w:rsidR="00325F01">
        <w:rPr>
          <w:i/>
          <w:iCs/>
        </w:rPr>
        <w:t>Ichthyophonus</w:t>
      </w:r>
      <w:proofErr w:type="spellEnd"/>
      <w:r w:rsidR="00325F01">
        <w:t xml:space="preserve"> </w:t>
      </w:r>
      <w:r w:rsidR="00905FAF">
        <w:t>experimental infection trials</w:t>
      </w:r>
    </w:p>
    <w:p w14:paraId="3D917E5A"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rPr>
          <w:b/>
        </w:rPr>
      </w:pPr>
    </w:p>
    <w:p w14:paraId="11A90A1B" w14:textId="30DC5DF2" w:rsidR="00D15BCD" w:rsidRDefault="00D15BCD" w:rsidP="00D15BCD">
      <w:pPr>
        <w:tabs>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FINAL REPORT DATE</w:t>
      </w:r>
      <w:r>
        <w:t xml:space="preserve">: </w:t>
      </w:r>
      <w:r w:rsidR="00D026B8">
        <w:t>1/24/2024</w:t>
      </w:r>
    </w:p>
    <w:p w14:paraId="1CF56542" w14:textId="77777777" w:rsidR="00D15BCD" w:rsidRDefault="00D15BCD" w:rsidP="00D15BCD">
      <w:pPr>
        <w:pBdr>
          <w:bottom w:val="single" w:sz="6" w:space="1" w:color="auto"/>
        </w:pBd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0D3A5857"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line="120" w:lineRule="exact"/>
      </w:pPr>
    </w:p>
    <w:p w14:paraId="125BC066" w14:textId="77777777" w:rsidR="00D15BCD" w:rsidRDefault="00D15BCD" w:rsidP="00D15BCD">
      <w:pPr>
        <w:tabs>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270"/>
        </w:tabs>
        <w:spacing w:after="120"/>
        <w:rPr>
          <w:b/>
          <w:u w:val="single"/>
        </w:rPr>
      </w:pPr>
      <w:r>
        <w:rPr>
          <w:b/>
          <w:u w:val="single"/>
        </w:rPr>
        <w:t>CLINICAL FINDINGS</w:t>
      </w:r>
    </w:p>
    <w:p w14:paraId="18363792" w14:textId="6748D2CD" w:rsidR="00D13239" w:rsidRPr="00415B23" w:rsidRDefault="00D13239" w:rsidP="00D13239">
      <w:pPr>
        <w:rPr>
          <w:rFonts w:eastAsia="Calibri" w:cs="Arial"/>
          <w:b/>
          <w:bCs/>
        </w:rPr>
      </w:pPr>
      <w:r w:rsidRPr="00415B23">
        <w:rPr>
          <w:rFonts w:eastAsia="Calibri" w:cs="Arial"/>
          <w:b/>
          <w:bCs/>
        </w:rPr>
        <w:t>qPCR:</w:t>
      </w:r>
      <w:r w:rsidR="00347026" w:rsidRPr="00415B23">
        <w:rPr>
          <w:rFonts w:eastAsia="Calibri" w:cs="Arial"/>
          <w:b/>
          <w:bCs/>
        </w:rPr>
        <w:t xml:space="preserve"> </w:t>
      </w:r>
      <w:r w:rsidR="00347026" w:rsidRPr="00415B23">
        <w:rPr>
          <w:rFonts w:eastAsia="Calibri" w:cs="Arial"/>
        </w:rPr>
        <w:t>For inoculum tissues</w:t>
      </w:r>
    </w:p>
    <w:p w14:paraId="72FE9E93" w14:textId="77777777" w:rsidR="00D13239" w:rsidRPr="00CC14E4" w:rsidRDefault="00D13239" w:rsidP="00D13239">
      <w:pPr>
        <w:rPr>
          <w:rFonts w:eastAsia="Calibri" w:cs="Arial"/>
          <w:b/>
          <w:bCs/>
          <w:color w:val="000000"/>
        </w:rPr>
      </w:pPr>
    </w:p>
    <w:p w14:paraId="7A56AF65" w14:textId="54D8C3E5" w:rsidR="00291141" w:rsidRDefault="00D13239" w:rsidP="00291141">
      <w:pPr>
        <w:rPr>
          <w:rFonts w:eastAsia="Calibri" w:cs="Arial"/>
          <w:color w:val="000000"/>
        </w:rPr>
      </w:pPr>
      <w:r w:rsidRPr="00CC14E4">
        <w:rPr>
          <w:rFonts w:eastAsia="Calibri" w:cs="Arial"/>
          <w:b/>
          <w:bCs/>
          <w:color w:val="000000"/>
        </w:rPr>
        <w:t xml:space="preserve">Extraction and assay details: </w:t>
      </w:r>
      <w:r w:rsidRPr="00CC14E4">
        <w:rPr>
          <w:rFonts w:eastAsia="Calibri" w:cs="Arial"/>
          <w:color w:val="000000"/>
        </w:rPr>
        <w:t xml:space="preserve">DNA from </w:t>
      </w:r>
      <w:r w:rsidRPr="00CC14E4">
        <w:rPr>
          <w:rFonts w:eastAsia="Calibri" w:cs="Arial"/>
          <w:spacing w:val="-2"/>
        </w:rPr>
        <w:t xml:space="preserve">approximately </w:t>
      </w:r>
      <w:r w:rsidR="000E377D">
        <w:rPr>
          <w:rFonts w:eastAsia="Calibri" w:cs="Arial"/>
          <w:spacing w:val="-2"/>
        </w:rPr>
        <w:t>100</w:t>
      </w:r>
      <w:r w:rsidR="000E377D">
        <w:rPr>
          <w:rFonts w:cs="Arial"/>
        </w:rPr>
        <w:t>µ</w:t>
      </w:r>
      <w:r w:rsidR="000E377D">
        <w:rPr>
          <w:rFonts w:eastAsia="Calibri" w:cs="Arial"/>
          <w:spacing w:val="-2"/>
        </w:rPr>
        <w:t xml:space="preserve">l of inoculum was extracted from each dose in triplicate </w:t>
      </w:r>
      <w:r w:rsidRPr="00CC14E4">
        <w:rPr>
          <w:rFonts w:eastAsia="Calibri" w:cs="Arial"/>
          <w:spacing w:val="-2"/>
        </w:rPr>
        <w:t>using th</w:t>
      </w:r>
      <w:r w:rsidRPr="00CC14E4">
        <w:rPr>
          <w:rFonts w:eastAsia="Calibri" w:cs="Arial"/>
          <w:color w:val="000000"/>
        </w:rPr>
        <w:t xml:space="preserve">e Digestion Workflow for the </w:t>
      </w:r>
      <w:proofErr w:type="spellStart"/>
      <w:r w:rsidRPr="00CC14E4">
        <w:rPr>
          <w:rFonts w:eastAsia="Calibri" w:cs="Arial"/>
          <w:color w:val="000000"/>
        </w:rPr>
        <w:t>MagMAX</w:t>
      </w:r>
      <w:proofErr w:type="spellEnd"/>
      <w:r w:rsidRPr="00CC14E4">
        <w:rPr>
          <w:rFonts w:eastAsia="Calibri" w:cs="Arial"/>
          <w:color w:val="000000"/>
        </w:rPr>
        <w:t xml:space="preserve"> CORE Nucleic Acid Purification Kit on a </w:t>
      </w:r>
      <w:proofErr w:type="spellStart"/>
      <w:r w:rsidRPr="00CC14E4">
        <w:rPr>
          <w:rFonts w:eastAsia="Calibri" w:cs="Arial"/>
          <w:color w:val="000000"/>
        </w:rPr>
        <w:t>KingFisher</w:t>
      </w:r>
      <w:proofErr w:type="spellEnd"/>
      <w:r w:rsidRPr="00CC14E4">
        <w:rPr>
          <w:rFonts w:eastAsia="Calibri" w:cs="Arial"/>
          <w:color w:val="000000"/>
        </w:rPr>
        <w:t xml:space="preserve"> Flex purification system. A synthetically produced gene fragment, </w:t>
      </w:r>
      <w:proofErr w:type="spellStart"/>
      <w:r w:rsidRPr="00CC14E4">
        <w:rPr>
          <w:rFonts w:eastAsia="Calibri" w:cs="Arial"/>
          <w:color w:val="000000"/>
        </w:rPr>
        <w:t>gBlock</w:t>
      </w:r>
      <w:proofErr w:type="spellEnd"/>
      <w:r w:rsidRPr="00CC14E4">
        <w:rPr>
          <w:rFonts w:eastAsia="Calibri" w:cs="Arial"/>
          <w:color w:val="000000"/>
        </w:rPr>
        <w:t xml:space="preserve"> (Integrated DNA Technologies), was used for the standard curve.</w:t>
      </w:r>
      <w:r w:rsidR="00291141">
        <w:rPr>
          <w:rFonts w:eastAsia="Calibri" w:cs="Arial"/>
          <w:color w:val="000000"/>
        </w:rPr>
        <w:t xml:space="preserve"> </w:t>
      </w:r>
      <w:r w:rsidR="00291141" w:rsidRPr="0032628F">
        <w:rPr>
          <w:rFonts w:eastAsia="Calibri" w:cs="Arial"/>
          <w:color w:val="000000"/>
        </w:rPr>
        <w:t xml:space="preserve">The Limit of Quantification (LOQ) for this assay was </w:t>
      </w:r>
      <w:r w:rsidR="00291141" w:rsidRPr="00BB2376">
        <w:rPr>
          <w:rFonts w:eastAsia="Calibri" w:cs="Arial"/>
          <w:color w:val="000000"/>
        </w:rPr>
        <w:t>10 gene copies per reaction, corresponding to a C</w:t>
      </w:r>
      <w:r w:rsidR="00291141" w:rsidRPr="00BB2376">
        <w:rPr>
          <w:rFonts w:eastAsia="Calibri" w:cs="Arial"/>
          <w:color w:val="000000"/>
          <w:vertAlign w:val="subscript"/>
        </w:rPr>
        <w:t>T</w:t>
      </w:r>
      <w:r w:rsidR="00291141" w:rsidRPr="00BB2376">
        <w:rPr>
          <w:rFonts w:eastAsia="Calibri" w:cs="Arial"/>
          <w:color w:val="000000"/>
        </w:rPr>
        <w:t xml:space="preserve"> value of 3</w:t>
      </w:r>
      <w:r w:rsidR="00BB2376" w:rsidRPr="00BB2376">
        <w:rPr>
          <w:rFonts w:eastAsia="Calibri" w:cs="Arial"/>
          <w:color w:val="000000"/>
        </w:rPr>
        <w:t>6.1</w:t>
      </w:r>
      <w:r w:rsidR="00291141" w:rsidRPr="00BB2376">
        <w:rPr>
          <w:rFonts w:eastAsia="Calibri" w:cs="Arial"/>
          <w:color w:val="000000"/>
        </w:rPr>
        <w:t>.</w:t>
      </w:r>
      <w:r w:rsidR="00291141" w:rsidRPr="0032628F">
        <w:rPr>
          <w:rFonts w:eastAsia="Calibri" w:cs="Arial"/>
          <w:color w:val="000000"/>
        </w:rPr>
        <w:t xml:space="preserve"> This</w:t>
      </w:r>
      <w:r w:rsidR="00291141">
        <w:rPr>
          <w:rFonts w:eastAsia="Calibri" w:cs="Arial"/>
          <w:color w:val="000000"/>
        </w:rPr>
        <w:t xml:space="preserve"> qPCR targets the multicopy 18S rDNA gene and was performed according to the validated qPCR assay by White et al. (2013). The mean qPCR value for each dose was used to </w:t>
      </w:r>
      <w:r w:rsidR="00ED4E71">
        <w:rPr>
          <w:rFonts w:eastAsia="Calibri" w:cs="Arial"/>
          <w:color w:val="000000"/>
        </w:rPr>
        <w:t>back-</w:t>
      </w:r>
      <w:r w:rsidR="00291141">
        <w:rPr>
          <w:rFonts w:eastAsia="Calibri" w:cs="Arial"/>
          <w:color w:val="000000"/>
        </w:rPr>
        <w:t>calculate gene copies/100</w:t>
      </w:r>
      <w:r w:rsidR="00291141">
        <w:rPr>
          <w:rFonts w:cs="Arial"/>
        </w:rPr>
        <w:t>µ</w:t>
      </w:r>
      <w:r w:rsidR="00291141">
        <w:rPr>
          <w:rFonts w:eastAsia="Calibri" w:cs="Arial"/>
          <w:color w:val="000000"/>
        </w:rPr>
        <w:t>l of inoculum</w:t>
      </w:r>
      <w:r w:rsidR="0061554B">
        <w:rPr>
          <w:rFonts w:eastAsia="Calibri" w:cs="Arial"/>
          <w:color w:val="000000"/>
        </w:rPr>
        <w:t>. Results are presented in Table 1 below.</w:t>
      </w:r>
    </w:p>
    <w:p w14:paraId="63D6AB6E" w14:textId="6A93BB23" w:rsidR="00291141" w:rsidRDefault="00D13239" w:rsidP="00D13239">
      <w:pPr>
        <w:rPr>
          <w:rFonts w:eastAsia="Calibri" w:cs="Arial"/>
          <w:color w:val="000000"/>
        </w:rPr>
      </w:pPr>
      <w:r w:rsidRPr="00CC14E4">
        <w:rPr>
          <w:rFonts w:eastAsia="Calibri" w:cs="Arial"/>
          <w:color w:val="000000"/>
        </w:rPr>
        <w:t xml:space="preserve"> </w:t>
      </w:r>
    </w:p>
    <w:p w14:paraId="63162640" w14:textId="2573BC5E" w:rsidR="0061554B" w:rsidRPr="0061554B" w:rsidRDefault="0061554B" w:rsidP="0061554B">
      <w:pPr>
        <w:pStyle w:val="Caption"/>
        <w:keepNext/>
        <w:spacing w:after="60"/>
        <w:jc w:val="center"/>
        <w:rPr>
          <w:i w:val="0"/>
          <w:iCs w:val="0"/>
          <w:color w:val="auto"/>
        </w:rPr>
      </w:pPr>
      <w:r w:rsidRPr="0061554B">
        <w:rPr>
          <w:b/>
          <w:bCs/>
          <w:i w:val="0"/>
          <w:iCs w:val="0"/>
          <w:color w:val="auto"/>
        </w:rPr>
        <w:t xml:space="preserve">Table </w:t>
      </w:r>
      <w:r w:rsidRPr="0061554B">
        <w:rPr>
          <w:b/>
          <w:bCs/>
          <w:i w:val="0"/>
          <w:iCs w:val="0"/>
          <w:color w:val="auto"/>
        </w:rPr>
        <w:fldChar w:fldCharType="begin"/>
      </w:r>
      <w:r w:rsidRPr="0061554B">
        <w:rPr>
          <w:b/>
          <w:bCs/>
          <w:i w:val="0"/>
          <w:iCs w:val="0"/>
          <w:color w:val="auto"/>
        </w:rPr>
        <w:instrText xml:space="preserve"> SEQ Table \* ARABIC </w:instrText>
      </w:r>
      <w:r w:rsidRPr="0061554B">
        <w:rPr>
          <w:b/>
          <w:bCs/>
          <w:i w:val="0"/>
          <w:iCs w:val="0"/>
          <w:color w:val="auto"/>
        </w:rPr>
        <w:fldChar w:fldCharType="separate"/>
      </w:r>
      <w:r w:rsidR="00862D40">
        <w:rPr>
          <w:b/>
          <w:bCs/>
          <w:i w:val="0"/>
          <w:iCs w:val="0"/>
          <w:noProof/>
          <w:color w:val="auto"/>
        </w:rPr>
        <w:t>1</w:t>
      </w:r>
      <w:r w:rsidRPr="0061554B">
        <w:rPr>
          <w:b/>
          <w:bCs/>
          <w:i w:val="0"/>
          <w:iCs w:val="0"/>
          <w:color w:val="auto"/>
        </w:rPr>
        <w:fldChar w:fldCharType="end"/>
      </w:r>
      <w:r w:rsidRPr="0061554B">
        <w:rPr>
          <w:b/>
          <w:bCs/>
          <w:i w:val="0"/>
          <w:iCs w:val="0"/>
          <w:color w:val="auto"/>
        </w:rPr>
        <w:t>.</w:t>
      </w:r>
      <w:r w:rsidRPr="0061554B">
        <w:rPr>
          <w:i w:val="0"/>
          <w:iCs w:val="0"/>
          <w:color w:val="auto"/>
        </w:rPr>
        <w:t xml:space="preserve"> Summary of qPCR testing results for high and low dose </w:t>
      </w:r>
      <w:proofErr w:type="spellStart"/>
      <w:r w:rsidRPr="0061554B">
        <w:rPr>
          <w:i w:val="0"/>
          <w:iCs w:val="0"/>
          <w:color w:val="auto"/>
        </w:rPr>
        <w:t>inocula</w:t>
      </w:r>
      <w:proofErr w:type="spellEnd"/>
      <w:r w:rsidRPr="0061554B">
        <w:rPr>
          <w:i w:val="0"/>
          <w:iCs w:val="0"/>
          <w:color w:val="auto"/>
        </w:rPr>
        <w:t>.</w:t>
      </w:r>
    </w:p>
    <w:tbl>
      <w:tblPr>
        <w:tblW w:w="5480" w:type="dxa"/>
        <w:jc w:val="center"/>
        <w:tblBorders>
          <w:top w:val="single" w:sz="8"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1020"/>
        <w:gridCol w:w="2260"/>
        <w:gridCol w:w="2200"/>
      </w:tblGrid>
      <w:tr w:rsidR="00ED4E71" w14:paraId="592755A5" w14:textId="04FCDFF9" w:rsidTr="00ED4E71">
        <w:trPr>
          <w:trHeight w:val="300"/>
          <w:jc w:val="center"/>
        </w:trPr>
        <w:tc>
          <w:tcPr>
            <w:tcW w:w="1020" w:type="dxa"/>
            <w:noWrap/>
            <w:tcMar>
              <w:top w:w="0" w:type="dxa"/>
              <w:left w:w="108" w:type="dxa"/>
              <w:bottom w:w="0" w:type="dxa"/>
              <w:right w:w="108" w:type="dxa"/>
            </w:tcMar>
            <w:vAlign w:val="center"/>
            <w:hideMark/>
          </w:tcPr>
          <w:p w14:paraId="5D232935" w14:textId="181C1EFE" w:rsidR="00ED4E71" w:rsidRPr="00680F8F" w:rsidRDefault="00ED4E71" w:rsidP="00680F8F">
            <w:pPr>
              <w:jc w:val="center"/>
              <w:rPr>
                <w:rFonts w:ascii="Calibri" w:hAnsi="Calibri"/>
                <w:b/>
                <w:bCs/>
                <w:color w:val="000000"/>
              </w:rPr>
            </w:pPr>
            <w:r w:rsidRPr="00680F8F">
              <w:rPr>
                <w:b/>
                <w:bCs/>
                <w:color w:val="000000"/>
              </w:rPr>
              <w:t>Dosage</w:t>
            </w:r>
          </w:p>
        </w:tc>
        <w:tc>
          <w:tcPr>
            <w:tcW w:w="2260" w:type="dxa"/>
            <w:noWrap/>
            <w:tcMar>
              <w:top w:w="0" w:type="dxa"/>
              <w:left w:w="108" w:type="dxa"/>
              <w:bottom w:w="0" w:type="dxa"/>
              <w:right w:w="108" w:type="dxa"/>
            </w:tcMar>
            <w:vAlign w:val="center"/>
            <w:hideMark/>
          </w:tcPr>
          <w:p w14:paraId="28F0BB1C" w14:textId="2A90F617" w:rsidR="00ED4E71" w:rsidRPr="00680F8F" w:rsidRDefault="00ED4E71" w:rsidP="00680F8F">
            <w:pPr>
              <w:jc w:val="center"/>
              <w:rPr>
                <w:b/>
                <w:bCs/>
                <w:color w:val="000000"/>
              </w:rPr>
            </w:pPr>
            <w:r>
              <w:rPr>
                <w:b/>
                <w:bCs/>
                <w:color w:val="000000"/>
              </w:rPr>
              <w:t>S</w:t>
            </w:r>
            <w:r w:rsidRPr="00680F8F">
              <w:rPr>
                <w:b/>
                <w:bCs/>
                <w:color w:val="000000"/>
              </w:rPr>
              <w:t>chizonts/100</w:t>
            </w:r>
            <w:r w:rsidRPr="00680F8F">
              <w:rPr>
                <w:rFonts w:cs="Arial"/>
                <w:b/>
                <w:bCs/>
                <w:color w:val="000000"/>
              </w:rPr>
              <w:t>µ</w:t>
            </w:r>
            <w:r w:rsidRPr="00680F8F">
              <w:rPr>
                <w:b/>
                <w:bCs/>
                <w:color w:val="000000"/>
              </w:rPr>
              <w:t>L</w:t>
            </w:r>
          </w:p>
        </w:tc>
        <w:tc>
          <w:tcPr>
            <w:tcW w:w="2200" w:type="dxa"/>
            <w:noWrap/>
            <w:tcMar>
              <w:top w:w="0" w:type="dxa"/>
              <w:left w:w="108" w:type="dxa"/>
              <w:bottom w:w="0" w:type="dxa"/>
              <w:right w:w="108" w:type="dxa"/>
            </w:tcMar>
            <w:vAlign w:val="center"/>
            <w:hideMark/>
          </w:tcPr>
          <w:p w14:paraId="3646E761" w14:textId="560A9998" w:rsidR="00ED4E71" w:rsidRPr="00680F8F" w:rsidRDefault="00ED4E71" w:rsidP="00680F8F">
            <w:pPr>
              <w:jc w:val="center"/>
              <w:rPr>
                <w:b/>
                <w:bCs/>
                <w:color w:val="000000"/>
              </w:rPr>
            </w:pPr>
            <w:r>
              <w:rPr>
                <w:b/>
                <w:bCs/>
                <w:color w:val="000000"/>
              </w:rPr>
              <w:t>G</w:t>
            </w:r>
            <w:r w:rsidRPr="00680F8F">
              <w:rPr>
                <w:b/>
                <w:bCs/>
                <w:color w:val="000000"/>
              </w:rPr>
              <w:t>ene copies/100</w:t>
            </w:r>
            <w:r w:rsidRPr="00680F8F">
              <w:rPr>
                <w:rFonts w:cs="Arial"/>
                <w:b/>
                <w:bCs/>
                <w:color w:val="000000"/>
              </w:rPr>
              <w:t>µ</w:t>
            </w:r>
            <w:r w:rsidRPr="00680F8F">
              <w:rPr>
                <w:b/>
                <w:bCs/>
                <w:color w:val="000000"/>
              </w:rPr>
              <w:t>L</w:t>
            </w:r>
          </w:p>
        </w:tc>
      </w:tr>
      <w:tr w:rsidR="00ED4E71" w14:paraId="03CA114D" w14:textId="668B5E85" w:rsidTr="00ED4E71">
        <w:trPr>
          <w:trHeight w:val="300"/>
          <w:jc w:val="center"/>
        </w:trPr>
        <w:tc>
          <w:tcPr>
            <w:tcW w:w="1020" w:type="dxa"/>
            <w:noWrap/>
            <w:tcMar>
              <w:top w:w="0" w:type="dxa"/>
              <w:left w:w="108" w:type="dxa"/>
              <w:bottom w:w="0" w:type="dxa"/>
              <w:right w:w="108" w:type="dxa"/>
            </w:tcMar>
            <w:vAlign w:val="bottom"/>
            <w:hideMark/>
          </w:tcPr>
          <w:p w14:paraId="550D79E0" w14:textId="09DDC447" w:rsidR="00ED4E71" w:rsidRDefault="00ED4E71" w:rsidP="00680F8F">
            <w:pPr>
              <w:jc w:val="center"/>
              <w:rPr>
                <w:color w:val="000000"/>
              </w:rPr>
            </w:pPr>
            <w:r>
              <w:rPr>
                <w:color w:val="000000"/>
              </w:rPr>
              <w:t>Low</w:t>
            </w:r>
          </w:p>
        </w:tc>
        <w:tc>
          <w:tcPr>
            <w:tcW w:w="2260" w:type="dxa"/>
            <w:noWrap/>
            <w:tcMar>
              <w:top w:w="0" w:type="dxa"/>
              <w:left w:w="108" w:type="dxa"/>
              <w:bottom w:w="0" w:type="dxa"/>
              <w:right w:w="108" w:type="dxa"/>
            </w:tcMar>
            <w:vAlign w:val="bottom"/>
            <w:hideMark/>
          </w:tcPr>
          <w:p w14:paraId="0109658A" w14:textId="77777777" w:rsidR="00ED4E71" w:rsidRDefault="00ED4E71" w:rsidP="00680F8F">
            <w:pPr>
              <w:jc w:val="center"/>
              <w:rPr>
                <w:color w:val="000000"/>
              </w:rPr>
            </w:pPr>
            <w:r>
              <w:rPr>
                <w:color w:val="000000"/>
              </w:rPr>
              <w:t>102</w:t>
            </w:r>
          </w:p>
        </w:tc>
        <w:tc>
          <w:tcPr>
            <w:tcW w:w="2200" w:type="dxa"/>
            <w:noWrap/>
            <w:tcMar>
              <w:top w:w="0" w:type="dxa"/>
              <w:left w:w="108" w:type="dxa"/>
              <w:bottom w:w="0" w:type="dxa"/>
              <w:right w:w="108" w:type="dxa"/>
            </w:tcMar>
            <w:vAlign w:val="bottom"/>
            <w:hideMark/>
          </w:tcPr>
          <w:p w14:paraId="60890678" w14:textId="77777777" w:rsidR="00ED4E71" w:rsidRDefault="00ED4E71" w:rsidP="00680F8F">
            <w:pPr>
              <w:jc w:val="center"/>
              <w:rPr>
                <w:color w:val="000000"/>
              </w:rPr>
            </w:pPr>
            <w:r>
              <w:rPr>
                <w:color w:val="000000"/>
              </w:rPr>
              <w:t>7,046,520</w:t>
            </w:r>
          </w:p>
        </w:tc>
      </w:tr>
      <w:tr w:rsidR="00ED4E71" w14:paraId="4FDD377A" w14:textId="5DD48252" w:rsidTr="00ED4E71">
        <w:trPr>
          <w:trHeight w:val="300"/>
          <w:jc w:val="center"/>
        </w:trPr>
        <w:tc>
          <w:tcPr>
            <w:tcW w:w="1020" w:type="dxa"/>
            <w:noWrap/>
            <w:tcMar>
              <w:top w:w="0" w:type="dxa"/>
              <w:left w:w="108" w:type="dxa"/>
              <w:bottom w:w="0" w:type="dxa"/>
              <w:right w:w="108" w:type="dxa"/>
            </w:tcMar>
            <w:vAlign w:val="bottom"/>
            <w:hideMark/>
          </w:tcPr>
          <w:p w14:paraId="7A065E88" w14:textId="1BBF8EA5" w:rsidR="00ED4E71" w:rsidRDefault="00ED4E71" w:rsidP="00680F8F">
            <w:pPr>
              <w:jc w:val="center"/>
              <w:rPr>
                <w:color w:val="000000"/>
              </w:rPr>
            </w:pPr>
            <w:r>
              <w:rPr>
                <w:color w:val="000000"/>
              </w:rPr>
              <w:t>High</w:t>
            </w:r>
          </w:p>
        </w:tc>
        <w:tc>
          <w:tcPr>
            <w:tcW w:w="2260" w:type="dxa"/>
            <w:noWrap/>
            <w:tcMar>
              <w:top w:w="0" w:type="dxa"/>
              <w:left w:w="108" w:type="dxa"/>
              <w:bottom w:w="0" w:type="dxa"/>
              <w:right w:w="108" w:type="dxa"/>
            </w:tcMar>
            <w:vAlign w:val="bottom"/>
            <w:hideMark/>
          </w:tcPr>
          <w:p w14:paraId="61658403" w14:textId="77777777" w:rsidR="00ED4E71" w:rsidRDefault="00ED4E71" w:rsidP="00680F8F">
            <w:pPr>
              <w:jc w:val="center"/>
              <w:rPr>
                <w:color w:val="000000"/>
              </w:rPr>
            </w:pPr>
            <w:r>
              <w:rPr>
                <w:color w:val="000000"/>
              </w:rPr>
              <w:t>407</w:t>
            </w:r>
          </w:p>
        </w:tc>
        <w:tc>
          <w:tcPr>
            <w:tcW w:w="2200" w:type="dxa"/>
            <w:noWrap/>
            <w:tcMar>
              <w:top w:w="0" w:type="dxa"/>
              <w:left w:w="108" w:type="dxa"/>
              <w:bottom w:w="0" w:type="dxa"/>
              <w:right w:w="108" w:type="dxa"/>
            </w:tcMar>
            <w:vAlign w:val="bottom"/>
            <w:hideMark/>
          </w:tcPr>
          <w:p w14:paraId="0E8643A1" w14:textId="77777777" w:rsidR="00ED4E71" w:rsidRDefault="00ED4E71" w:rsidP="00680F8F">
            <w:pPr>
              <w:jc w:val="center"/>
              <w:rPr>
                <w:color w:val="000000"/>
              </w:rPr>
            </w:pPr>
            <w:r>
              <w:rPr>
                <w:color w:val="000000"/>
              </w:rPr>
              <w:t>42,112,980</w:t>
            </w:r>
          </w:p>
        </w:tc>
      </w:tr>
    </w:tbl>
    <w:p w14:paraId="5DA404E1" w14:textId="77777777" w:rsidR="00D15BCD" w:rsidRDefault="00D15BCD" w:rsidP="0061554B">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3845703" w14:textId="395F604A" w:rsidR="00CC52E8" w:rsidRPr="00415B23" w:rsidRDefault="00D15BCD" w:rsidP="008F34C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u w:val="single"/>
        </w:rPr>
        <w:t>COMMENTS/RECOMMENDATIONS</w:t>
      </w:r>
      <w:r>
        <w:t xml:space="preserve">: </w:t>
      </w:r>
      <w:r w:rsidR="00BB445F">
        <w:t xml:space="preserve">The </w:t>
      </w:r>
      <w:r w:rsidR="008F34C8">
        <w:t>low dose and high dose of the inoculum were estimated to contain approximately 7.</w:t>
      </w:r>
      <w:r w:rsidR="009B2F60">
        <w:t>1</w:t>
      </w:r>
      <w:r w:rsidR="008F34C8">
        <w:t>x10</w:t>
      </w:r>
      <w:r w:rsidR="00BB2376">
        <w:rPr>
          <w:vertAlign w:val="superscript"/>
        </w:rPr>
        <w:t>6</w:t>
      </w:r>
      <w:r w:rsidR="008F34C8">
        <w:t xml:space="preserve"> gene copies/</w:t>
      </w:r>
      <w:r w:rsidR="00BC1142">
        <w:t>100</w:t>
      </w:r>
      <w:r w:rsidR="00BB2376">
        <w:rPr>
          <w:rFonts w:cs="Arial"/>
        </w:rPr>
        <w:t>µ</w:t>
      </w:r>
      <w:r w:rsidR="00BB2376">
        <w:t>l</w:t>
      </w:r>
      <w:r w:rsidR="008F34C8">
        <w:t xml:space="preserve"> and 4.</w:t>
      </w:r>
      <w:r w:rsidR="00BB2376">
        <w:t>2</w:t>
      </w:r>
      <w:r w:rsidR="008F34C8">
        <w:t>x10</w:t>
      </w:r>
      <w:r w:rsidR="00BB2376">
        <w:rPr>
          <w:vertAlign w:val="superscript"/>
        </w:rPr>
        <w:t>7</w:t>
      </w:r>
      <w:r w:rsidR="008F34C8">
        <w:t xml:space="preserve"> copies/</w:t>
      </w:r>
      <w:r w:rsidR="00BC1142">
        <w:t>100</w:t>
      </w:r>
      <w:r w:rsidR="00BB2376">
        <w:rPr>
          <w:rFonts w:cs="Arial"/>
        </w:rPr>
        <w:t>µl</w:t>
      </w:r>
      <w:r w:rsidR="008F34C8">
        <w:t>, respectively.</w:t>
      </w:r>
      <w:r w:rsidR="004C1FDF">
        <w:t xml:space="preserve"> It was not possible to assess the infection density in the three </w:t>
      </w:r>
      <w:r w:rsidR="004C1FDF" w:rsidRPr="00415B23">
        <w:t xml:space="preserve">fish where the parasite was re-isolated in explant culture due to the abrupt termination of the experiment </w:t>
      </w:r>
      <w:r w:rsidR="00347026" w:rsidRPr="00415B23">
        <w:t>as previously indicated</w:t>
      </w:r>
      <w:r w:rsidR="004C1FDF" w:rsidRPr="00415B23">
        <w:t>.</w:t>
      </w:r>
      <w:r w:rsidR="00CC52E8" w:rsidRPr="00415B23">
        <w:t xml:space="preserve"> Based on our monitoring program, we have found that a high density of infection in Yukon River Chinook salmon is approximately 1.0x10</w:t>
      </w:r>
      <w:r w:rsidR="00CC52E8" w:rsidRPr="00415B23">
        <w:rPr>
          <w:vertAlign w:val="superscript"/>
        </w:rPr>
        <w:t>7</w:t>
      </w:r>
      <w:r w:rsidR="00CC52E8" w:rsidRPr="00415B23">
        <w:t xml:space="preserve"> copies/mg of heart tissue that corresponds to triple-digit counts of schizonts/mm</w:t>
      </w:r>
      <w:r w:rsidR="00CC52E8" w:rsidRPr="00415B23">
        <w:rPr>
          <w:vertAlign w:val="superscript"/>
        </w:rPr>
        <w:t>3</w:t>
      </w:r>
      <w:r w:rsidR="00CC52E8" w:rsidRPr="00415B23">
        <w:t xml:space="preserve">[~mg]. It is likely that the high dose that was administered via IP would have produced such high infections in a susceptible host, such as Yukon River stock of Chinook salmon. Tissues will be collected in future </w:t>
      </w:r>
      <w:r w:rsidR="00415B23" w:rsidRPr="00415B23">
        <w:t xml:space="preserve">infection trials </w:t>
      </w:r>
      <w:r w:rsidR="00CC52E8" w:rsidRPr="00415B23">
        <w:t xml:space="preserve">to assess infection density. </w:t>
      </w:r>
    </w:p>
    <w:p w14:paraId="170365F2" w14:textId="77777777" w:rsidR="00CC52E8" w:rsidRPr="00415B23" w:rsidRDefault="00CC52E8" w:rsidP="008F34C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73CE34A" w14:textId="49040CC2" w:rsidR="00AE5095" w:rsidRPr="00415B23" w:rsidRDefault="00CC52E8" w:rsidP="008F34C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15B23">
        <w:t xml:space="preserve">One of the most remarkable findings from this pilot work is that the Ship Creek Chinook salmon stock appeared to be relatively resistant to </w:t>
      </w:r>
      <w:r w:rsidRPr="00415B23">
        <w:rPr>
          <w:i/>
          <w:iCs/>
        </w:rPr>
        <w:t>Ichthyophonus</w:t>
      </w:r>
      <w:r w:rsidRPr="00415B23">
        <w:t xml:space="preserve"> infection compared to Yukon River Chinook salmon. This was consistent with previously published results that showed that Yukon River Chinook salmon juveniles</w:t>
      </w:r>
      <w:r w:rsidR="00AE5095" w:rsidRPr="00415B23">
        <w:t xml:space="preserve"> had 23% mortality compared to only 1% mortality of Salish Sea Chinook salmon when challenged per </w:t>
      </w:r>
      <w:proofErr w:type="spellStart"/>
      <w:r w:rsidR="00AE5095" w:rsidRPr="00415B23">
        <w:t>os</w:t>
      </w:r>
      <w:proofErr w:type="spellEnd"/>
      <w:r w:rsidR="00546188" w:rsidRPr="00415B23">
        <w:t xml:space="preserve"> with a Salish Sea isolate of the parasite</w:t>
      </w:r>
      <w:r w:rsidR="00AE5095" w:rsidRPr="00415B23">
        <w:t xml:space="preserve"> (Elliot</w:t>
      </w:r>
      <w:r w:rsidR="008038B3" w:rsidRPr="00415B23">
        <w:t>t</w:t>
      </w:r>
      <w:r w:rsidR="00AE5095" w:rsidRPr="00415B23">
        <w:t xml:space="preserve"> et al., 2021). These authors also showed that the Yukon Chinook salmon stock displayed persistent and progressive infections that were associated with dissemination, histopathologic changes, and mortality compared to the transient infection without associated pathology and mortality of Salish Sea Chinook when experimentally infected. Similarly, </w:t>
      </w:r>
      <w:r w:rsidR="00AE5095" w:rsidRPr="00415B23">
        <w:lastRenderedPageBreak/>
        <w:t>Jones &amp; Dawe (2002) showed that Yukon River Chinook salmon juveniles challenged by IP injection had elevated prevalence and severity of infections compared to those from the Salish Sea stock.</w:t>
      </w:r>
      <w:r w:rsidR="00546188" w:rsidRPr="00415B23">
        <w:t xml:space="preserve"> Elliot</w:t>
      </w:r>
      <w:r w:rsidR="008038B3" w:rsidRPr="00415B23">
        <w:t>t</w:t>
      </w:r>
      <w:r w:rsidR="00546188" w:rsidRPr="00415B23">
        <w:t xml:space="preserve"> et al. (2021) hypothesized that the difference in the Chinook salmon stock susceptibilities could be due to the lack of co-evolution of the parasite and host. Indeed, Gregg et al. (2022) showed that the isolate from the Yukon River is genetically distinct from the Salish Sea isolate so Yukon River Chinook salmon would not </w:t>
      </w:r>
      <w:r w:rsidR="008038B3" w:rsidRPr="00415B23">
        <w:t xml:space="preserve">have </w:t>
      </w:r>
      <w:r w:rsidR="006906A2" w:rsidRPr="00415B23">
        <w:t xml:space="preserve">experienced prolonged previous </w:t>
      </w:r>
      <w:r w:rsidR="00546188" w:rsidRPr="00415B23">
        <w:t>expos</w:t>
      </w:r>
      <w:r w:rsidR="006906A2" w:rsidRPr="00415B23">
        <w:t xml:space="preserve">ure </w:t>
      </w:r>
      <w:r w:rsidR="00546188" w:rsidRPr="00415B23">
        <w:t>to this isolate</w:t>
      </w:r>
      <w:r w:rsidR="006906A2" w:rsidRPr="00415B23">
        <w:t>,</w:t>
      </w:r>
      <w:r w:rsidR="00546188" w:rsidRPr="00415B23">
        <w:t xml:space="preserve"> thus explaining the</w:t>
      </w:r>
      <w:r w:rsidR="006906A2" w:rsidRPr="00415B23">
        <w:t>ir</w:t>
      </w:r>
      <w:r w:rsidR="00546188" w:rsidRPr="00415B23">
        <w:t xml:space="preserve"> increased susceptibility. </w:t>
      </w:r>
      <w:r w:rsidR="00415B23" w:rsidRPr="00415B23">
        <w:t xml:space="preserve">Interestingly, both parasite isolates are sympatric in the Gulf of Alaska where the parasite has not been problematic in Chinook stocks in this region. Although speculative, perhaps Yukon Chinook salmon have been exposed to the parasite in relatively recent times due to the northward movement of carrier fish, such as pollock, under warming ocean conditions. Therefore, there would have been less time for the co-evolution of the parasite and Yukon Chinook salmon that would explain the high susceptibility to infection and subsequent disease in this Chinook salmon stock. </w:t>
      </w:r>
      <w:r w:rsidR="00546188" w:rsidRPr="00415B23">
        <w:t xml:space="preserve">Future experimental infections with </w:t>
      </w:r>
      <w:r w:rsidR="00432EBF" w:rsidRPr="00415B23">
        <w:t xml:space="preserve">actual </w:t>
      </w:r>
      <w:r w:rsidR="00546188" w:rsidRPr="00415B23">
        <w:t xml:space="preserve">Yukon River Chinook salmon will utilize the strain of the parasite that occurs in the Yukon River to account for this possibility. </w:t>
      </w:r>
      <w:r w:rsidR="00AE5095" w:rsidRPr="00415B23">
        <w:t xml:space="preserve">   </w:t>
      </w:r>
    </w:p>
    <w:p w14:paraId="53413B47" w14:textId="77777777" w:rsidR="00D15BCD" w:rsidRPr="00415B23" w:rsidRDefault="00D15BCD" w:rsidP="00546188">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088BE5AB" w14:textId="68817719" w:rsidR="00D15BCD" w:rsidRPr="00415B23"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sidRPr="00415B23">
        <w:rPr>
          <w:b/>
        </w:rPr>
        <w:t>FISH HEALTH INVESTIGATOR</w:t>
      </w:r>
      <w:r w:rsidRPr="00415B23">
        <w:t>:</w:t>
      </w:r>
      <w:r w:rsidR="00901EA9" w:rsidRPr="00415B23">
        <w:t xml:space="preserve"> J. Ferguson, P. Hershberger (USGS)</w:t>
      </w:r>
      <w:r w:rsidRPr="00415B23">
        <w:t xml:space="preserve">  </w:t>
      </w:r>
    </w:p>
    <w:p w14:paraId="561FEA2D" w14:textId="594D3487" w:rsidR="00901EA9" w:rsidRPr="00901EA9" w:rsidRDefault="00901EA9"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tab/>
      </w:r>
      <w:r>
        <w:tab/>
      </w:r>
      <w:r>
        <w:tab/>
      </w:r>
      <w:r>
        <w:tab/>
      </w:r>
      <w:r>
        <w:tab/>
      </w:r>
      <w:r>
        <w:rPr>
          <w:b/>
          <w:noProof/>
        </w:rPr>
        <w:drawing>
          <wp:inline distT="0" distB="0" distL="0" distR="0" wp14:anchorId="5CE23AD7" wp14:editId="6DF84044">
            <wp:extent cx="381000" cy="381000"/>
            <wp:effectExtent l="0" t="0" r="0" b="0"/>
            <wp:docPr id="1250698154" name="Picture 1" descr="Close-up of a twi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8154" name="Picture 1" descr="Close-up of a twig&#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0AE7A3E" w14:textId="49C2ED8C"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TECHNICAL ASSISTANCE</w:t>
      </w:r>
      <w:r>
        <w:t>:</w:t>
      </w:r>
      <w:r w:rsidR="00901EA9">
        <w:t xml:space="preserve"> D. Stewart, M. Clinton (UAF)</w:t>
      </w:r>
      <w:r>
        <w:t xml:space="preserve">  </w:t>
      </w:r>
    </w:p>
    <w:p w14:paraId="409447E8" w14:textId="77777777"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p>
    <w:p w14:paraId="543D8E74" w14:textId="77777777" w:rsidR="005C7D52" w:rsidRDefault="00D15BCD" w:rsidP="00901EA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rPr>
          <w:b/>
        </w:rPr>
        <w:t>COPIES TO</w:t>
      </w:r>
      <w:r>
        <w:t xml:space="preserve">:  </w:t>
      </w:r>
      <w:r w:rsidR="00901EA9">
        <w:tab/>
      </w:r>
      <w:r>
        <w:t>FY2</w:t>
      </w:r>
      <w:r w:rsidR="00AD0974">
        <w:t>4</w:t>
      </w:r>
      <w:r>
        <w:t>,</w:t>
      </w:r>
      <w:r w:rsidR="00AD0974">
        <w:t xml:space="preserve"> Yukon Ich,</w:t>
      </w:r>
      <w:r w:rsidR="00901EA9">
        <w:t xml:space="preserve"> Hershberger (USGS), Wolf (APU)</w:t>
      </w:r>
      <w:r w:rsidR="00AD0974">
        <w:t xml:space="preserve"> </w:t>
      </w:r>
      <w:r w:rsidR="00901EA9">
        <w:t xml:space="preserve">, </w:t>
      </w:r>
      <w:r w:rsidR="005C7D52">
        <w:t xml:space="preserve">Barcelona (APU), </w:t>
      </w:r>
      <w:r w:rsidR="00901EA9">
        <w:t xml:space="preserve">Walter (USFWS), </w:t>
      </w:r>
    </w:p>
    <w:p w14:paraId="4154095D" w14:textId="77777777" w:rsidR="005C7D52" w:rsidRDefault="005C7D52" w:rsidP="00901EA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901EA9">
        <w:t>Herron (USFWS),</w:t>
      </w:r>
      <w:r>
        <w:t xml:space="preserve"> </w:t>
      </w:r>
      <w:r w:rsidR="00901EA9">
        <w:t xml:space="preserve">Ross (DFO), </w:t>
      </w:r>
      <w:proofErr w:type="spellStart"/>
      <w:r w:rsidR="00901EA9">
        <w:t>Zuray</w:t>
      </w:r>
      <w:proofErr w:type="spellEnd"/>
      <w:r w:rsidR="00901EA9">
        <w:t xml:space="preserve"> (Rapids Research Center), Kocan (Univ. WA), </w:t>
      </w:r>
    </w:p>
    <w:p w14:paraId="0BB3668C" w14:textId="59B01F48" w:rsidR="005C7D52" w:rsidRDefault="005C7D52" w:rsidP="00901EA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901EA9">
        <w:t>Clinton (UAF),</w:t>
      </w:r>
      <w:r>
        <w:t xml:space="preserve"> </w:t>
      </w:r>
      <w:r w:rsidR="00901EA9">
        <w:t xml:space="preserve">Linderman, </w:t>
      </w:r>
      <w:r w:rsidR="00741E23">
        <w:t>West</w:t>
      </w:r>
      <w:r w:rsidR="00901EA9">
        <w:t xml:space="preserve">, Hamazaki, Lee, Pfisterer, Wiglesworth, Lozori, Morrill, </w:t>
      </w:r>
    </w:p>
    <w:p w14:paraId="0ACA3318" w14:textId="77777777" w:rsidR="005C7D52" w:rsidRDefault="005C7D52" w:rsidP="00901EA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901EA9">
        <w:t xml:space="preserve">Jallen, Gleason, Decker, Brazil, Borba, </w:t>
      </w:r>
      <w:r w:rsidR="00D071E1">
        <w:t xml:space="preserve">Pratt, </w:t>
      </w:r>
      <w:r w:rsidR="006669D3">
        <w:t xml:space="preserve">Garry, Cunfer, </w:t>
      </w:r>
      <w:r w:rsidR="00901EA9">
        <w:t xml:space="preserve">Davis, Henley, Morris, </w:t>
      </w:r>
    </w:p>
    <w:p w14:paraId="1F61BCE5" w14:textId="7FBA865B" w:rsidR="00901EA9" w:rsidRDefault="005C7D52" w:rsidP="00901EA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ab/>
      </w:r>
      <w:r>
        <w:tab/>
      </w:r>
      <w:r>
        <w:tab/>
      </w:r>
      <w:r>
        <w:tab/>
      </w:r>
      <w:r w:rsidR="00901EA9">
        <w:t xml:space="preserve">Wilson, </w:t>
      </w:r>
      <w:proofErr w:type="spellStart"/>
      <w:r w:rsidR="00901EA9">
        <w:t>Vercessi</w:t>
      </w:r>
      <w:proofErr w:type="spellEnd"/>
      <w:r w:rsidR="00901EA9">
        <w:t xml:space="preserve">, Pryor, Meyers     </w:t>
      </w:r>
    </w:p>
    <w:p w14:paraId="13976FA5" w14:textId="1C34DBEA" w:rsidR="00D15BCD" w:rsidRDefault="00D15BCD" w:rsidP="00D15BCD">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r>
        <w:t xml:space="preserve"> </w:t>
      </w:r>
    </w:p>
    <w:p w14:paraId="64FAFED3" w14:textId="77777777" w:rsidR="00901EA9" w:rsidRDefault="00901EA9" w:rsidP="00901EA9">
      <w:pPr>
        <w:tabs>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270"/>
        </w:tabs>
      </w:pPr>
      <w:bookmarkStart w:id="0" w:name="_Hlk144206856"/>
      <w:r>
        <w:rPr>
          <w:b/>
        </w:rPr>
        <w:t>LITERATURE CITED</w:t>
      </w:r>
      <w:r>
        <w:t xml:space="preserve">:  </w:t>
      </w:r>
    </w:p>
    <w:bookmarkEnd w:id="0"/>
    <w:p w14:paraId="723FA6F5" w14:textId="70E3206A" w:rsidR="00D33AB6" w:rsidRDefault="00D33AB6" w:rsidP="00D15BCD"/>
    <w:p w14:paraId="5C807971" w14:textId="2B270245" w:rsidR="008038B3" w:rsidRDefault="008038B3" w:rsidP="008038B3">
      <w:bookmarkStart w:id="1" w:name="_Hlk144206948"/>
      <w:r>
        <w:t xml:space="preserve">Elliott, D.G., Conway, C.M., McKibben, C.L., </w:t>
      </w:r>
      <w:proofErr w:type="spellStart"/>
      <w:r>
        <w:t>MacKenzie</w:t>
      </w:r>
      <w:proofErr w:type="spellEnd"/>
      <w:r>
        <w:t xml:space="preserve">, A.H., Hart, L.M., Groner, M.L., Purcell, M.K., Gregg, J.L., and Hershberger, P.K. (2021) Differential susceptibility of Yukon River and Salish Sea stocks of Chinook salmon </w:t>
      </w:r>
      <w:r w:rsidRPr="008038B3">
        <w:rPr>
          <w:i/>
          <w:iCs/>
        </w:rPr>
        <w:t>Oncorhynchus</w:t>
      </w:r>
      <w:r>
        <w:t xml:space="preserve"> </w:t>
      </w:r>
      <w:r w:rsidRPr="008038B3">
        <w:rPr>
          <w:i/>
          <w:iCs/>
        </w:rPr>
        <w:t>tshawytscha</w:t>
      </w:r>
      <w:r>
        <w:t xml:space="preserve"> to ichthyophoniasis. Dis </w:t>
      </w:r>
      <w:proofErr w:type="spellStart"/>
      <w:r>
        <w:t>Aquat</w:t>
      </w:r>
      <w:proofErr w:type="spellEnd"/>
      <w:r>
        <w:t xml:space="preserve"> Org 144: 123−131</w:t>
      </w:r>
    </w:p>
    <w:p w14:paraId="25E3F776" w14:textId="77777777" w:rsidR="008038B3" w:rsidRDefault="008038B3" w:rsidP="008038B3"/>
    <w:p w14:paraId="0843C6B0" w14:textId="631990E6" w:rsidR="008038B3" w:rsidRDefault="008038B3" w:rsidP="008038B3">
      <w:r>
        <w:t xml:space="preserve">Gregg, J.L., Hershberger, P.K., Neat, A.S., Jayasekera, H.T., Ferguson, J.A., Powers, R.L., and Purcell, M.K. (2022) A phylogeny based on cytochrome-c oxidase gene sequences identifies sympatric </w:t>
      </w:r>
      <w:r w:rsidRPr="008038B3">
        <w:rPr>
          <w:i/>
          <w:iCs/>
        </w:rPr>
        <w:t>Ichthyophonus</w:t>
      </w:r>
      <w:r>
        <w:t xml:space="preserve"> genotypes in the NE Pacific Ocean. Dis </w:t>
      </w:r>
      <w:proofErr w:type="spellStart"/>
      <w:r>
        <w:t>Aquat</w:t>
      </w:r>
      <w:proofErr w:type="spellEnd"/>
      <w:r>
        <w:t xml:space="preserve"> Org 150: 61-67.</w:t>
      </w:r>
    </w:p>
    <w:p w14:paraId="05B8CEDB" w14:textId="77777777" w:rsidR="008038B3" w:rsidRDefault="008038B3" w:rsidP="008038B3"/>
    <w:p w14:paraId="49485591" w14:textId="2B2A02C3" w:rsidR="008038B3" w:rsidRDefault="008038B3" w:rsidP="008038B3">
      <w:r>
        <w:t xml:space="preserve">Jones, S.R.M. and Dawe, S.C. (2002) </w:t>
      </w:r>
      <w:proofErr w:type="spellStart"/>
      <w:r w:rsidRPr="008038B3">
        <w:rPr>
          <w:i/>
          <w:iCs/>
        </w:rPr>
        <w:t>Ichthyophonus</w:t>
      </w:r>
      <w:proofErr w:type="spellEnd"/>
      <w:r w:rsidRPr="008038B3">
        <w:rPr>
          <w:i/>
          <w:iCs/>
        </w:rPr>
        <w:t xml:space="preserve"> </w:t>
      </w:r>
      <w:proofErr w:type="spellStart"/>
      <w:r w:rsidRPr="008038B3">
        <w:rPr>
          <w:i/>
          <w:iCs/>
        </w:rPr>
        <w:t>hoferi</w:t>
      </w:r>
      <w:proofErr w:type="spellEnd"/>
      <w:r>
        <w:t xml:space="preserve"> Plehn and </w:t>
      </w:r>
      <w:proofErr w:type="spellStart"/>
      <w:r>
        <w:t>Muslow</w:t>
      </w:r>
      <w:proofErr w:type="spellEnd"/>
      <w:r>
        <w:t xml:space="preserve"> in British Columbia stocks of Pacific herring, </w:t>
      </w:r>
      <w:r w:rsidRPr="008038B3">
        <w:rPr>
          <w:i/>
          <w:iCs/>
        </w:rPr>
        <w:t xml:space="preserve">Clupea </w:t>
      </w:r>
      <w:proofErr w:type="spellStart"/>
      <w:r w:rsidRPr="008038B3">
        <w:rPr>
          <w:i/>
          <w:iCs/>
        </w:rPr>
        <w:t>pallasi</w:t>
      </w:r>
      <w:proofErr w:type="spellEnd"/>
      <w:r>
        <w:t xml:space="preserve"> [sic] Valenciennes, and its infectivity to Chinook salmon, </w:t>
      </w:r>
      <w:r w:rsidRPr="008038B3">
        <w:rPr>
          <w:i/>
          <w:iCs/>
        </w:rPr>
        <w:t>Oncorhynchus tshawytscha</w:t>
      </w:r>
      <w:r>
        <w:t xml:space="preserve"> (Walbaum). J Fish Dis 25: 415−421.</w:t>
      </w:r>
    </w:p>
    <w:p w14:paraId="7567ACC9" w14:textId="77777777" w:rsidR="008038B3" w:rsidRDefault="008038B3" w:rsidP="00901EA9"/>
    <w:p w14:paraId="5A920138" w14:textId="77077D87" w:rsidR="00901EA9" w:rsidRDefault="00901EA9" w:rsidP="00901EA9">
      <w:r>
        <w:t xml:space="preserve">White, V.C., Morado, J.F., Crosson, L.M., </w:t>
      </w:r>
      <w:proofErr w:type="spellStart"/>
      <w:r>
        <w:t>Vadopalas</w:t>
      </w:r>
      <w:proofErr w:type="spellEnd"/>
      <w:r>
        <w:t>, B., Friedman, C.S. (2013) Development</w:t>
      </w:r>
    </w:p>
    <w:p w14:paraId="3F118F3D" w14:textId="0AC63248" w:rsidR="00901EA9" w:rsidRDefault="00901EA9" w:rsidP="00901EA9">
      <w:r>
        <w:t xml:space="preserve">and validation of a quantitative PCR assay for </w:t>
      </w:r>
      <w:r w:rsidRPr="00432D3F">
        <w:rPr>
          <w:i/>
          <w:iCs/>
        </w:rPr>
        <w:t>Ichthyophonus</w:t>
      </w:r>
      <w:r>
        <w:t xml:space="preserve"> spp. Dis. </w:t>
      </w:r>
      <w:proofErr w:type="spellStart"/>
      <w:r>
        <w:t>Aquat</w:t>
      </w:r>
      <w:proofErr w:type="spellEnd"/>
      <w:r>
        <w:t>. Organ. 104,</w:t>
      </w:r>
      <w:r w:rsidR="008038B3">
        <w:t xml:space="preserve"> </w:t>
      </w:r>
      <w:r>
        <w:t>69-81.</w:t>
      </w:r>
      <w:bookmarkEnd w:id="1"/>
    </w:p>
    <w:p w14:paraId="3F2A4683" w14:textId="77777777" w:rsidR="00901EA9" w:rsidRPr="00D15BCD" w:rsidRDefault="00901EA9" w:rsidP="00D15BCD"/>
    <w:sectPr w:rsidR="00901EA9" w:rsidRPr="00D15BCD" w:rsidSect="003B1D9C">
      <w:footerReference w:type="default" r:id="rId7"/>
      <w:pgSz w:w="12240" w:h="15840" w:code="1"/>
      <w:pgMar w:top="1440" w:right="1440" w:bottom="1152"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B34B" w14:textId="77777777" w:rsidR="003B1D9C" w:rsidRDefault="003B1D9C">
      <w:r>
        <w:separator/>
      </w:r>
    </w:p>
  </w:endnote>
  <w:endnote w:type="continuationSeparator" w:id="0">
    <w:p w14:paraId="2CD493B4" w14:textId="77777777" w:rsidR="003B1D9C" w:rsidRDefault="003B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122" w14:textId="44B8DEE1" w:rsidR="00914984" w:rsidRDefault="00902A2E">
    <w:pPr>
      <w:pStyle w:val="Footer"/>
    </w:pPr>
    <w:r>
      <w:t xml:space="preserve">ACCESSION No.  </w:t>
    </w:r>
    <w:r w:rsidR="00186508">
      <w:t>20</w:t>
    </w:r>
    <w:r w:rsidR="00401C9F">
      <w:t>2</w:t>
    </w:r>
    <w:r w:rsidR="00506731">
      <w:t>4</w:t>
    </w:r>
    <w:r>
      <w:t>-0</w:t>
    </w:r>
    <w:r w:rsidR="004B2783">
      <w:t>0</w:t>
    </w:r>
    <w:r w:rsidR="00506731">
      <w:t>18</w:t>
    </w:r>
    <w:r w:rsidR="00914984">
      <w:tab/>
      <w:t xml:space="preserve">- </w:t>
    </w:r>
    <w:r w:rsidR="00487F8A">
      <w:rPr>
        <w:rStyle w:val="PageNumber"/>
      </w:rPr>
      <w:fldChar w:fldCharType="begin"/>
    </w:r>
    <w:r w:rsidR="00914984">
      <w:rPr>
        <w:rStyle w:val="PageNumber"/>
      </w:rPr>
      <w:instrText xml:space="preserve"> PAGE </w:instrText>
    </w:r>
    <w:r w:rsidR="00487F8A">
      <w:rPr>
        <w:rStyle w:val="PageNumber"/>
      </w:rPr>
      <w:fldChar w:fldCharType="separate"/>
    </w:r>
    <w:r w:rsidR="00401C9F">
      <w:rPr>
        <w:rStyle w:val="PageNumber"/>
        <w:noProof/>
      </w:rPr>
      <w:t>1</w:t>
    </w:r>
    <w:r w:rsidR="00487F8A">
      <w:rPr>
        <w:rStyle w:val="PageNumber"/>
      </w:rPr>
      <w:fldChar w:fldCharType="end"/>
    </w:r>
    <w:r w:rsidR="0091498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BC9C" w14:textId="77777777" w:rsidR="003B1D9C" w:rsidRDefault="003B1D9C">
      <w:r>
        <w:separator/>
      </w:r>
    </w:p>
  </w:footnote>
  <w:footnote w:type="continuationSeparator" w:id="0">
    <w:p w14:paraId="112C606F" w14:textId="77777777" w:rsidR="003B1D9C" w:rsidRDefault="003B1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80"/>
    <w:rsid w:val="00001532"/>
    <w:rsid w:val="0002232F"/>
    <w:rsid w:val="00042540"/>
    <w:rsid w:val="0005386C"/>
    <w:rsid w:val="0006473E"/>
    <w:rsid w:val="00067DFA"/>
    <w:rsid w:val="00070C35"/>
    <w:rsid w:val="00071320"/>
    <w:rsid w:val="00083DEE"/>
    <w:rsid w:val="00087017"/>
    <w:rsid w:val="000901E0"/>
    <w:rsid w:val="00091923"/>
    <w:rsid w:val="000C40E2"/>
    <w:rsid w:val="000D4C77"/>
    <w:rsid w:val="000E377D"/>
    <w:rsid w:val="00120CC9"/>
    <w:rsid w:val="00144C72"/>
    <w:rsid w:val="00167F40"/>
    <w:rsid w:val="00172A97"/>
    <w:rsid w:val="00177AFC"/>
    <w:rsid w:val="00186508"/>
    <w:rsid w:val="001A50E1"/>
    <w:rsid w:val="001C2C8F"/>
    <w:rsid w:val="001C5B9C"/>
    <w:rsid w:val="001D4418"/>
    <w:rsid w:val="001D6AA7"/>
    <w:rsid w:val="001F59AE"/>
    <w:rsid w:val="00205092"/>
    <w:rsid w:val="002440B3"/>
    <w:rsid w:val="00291141"/>
    <w:rsid w:val="00294B1E"/>
    <w:rsid w:val="002E036F"/>
    <w:rsid w:val="002E08CC"/>
    <w:rsid w:val="002F6A32"/>
    <w:rsid w:val="002F6FB8"/>
    <w:rsid w:val="00313C14"/>
    <w:rsid w:val="003209AF"/>
    <w:rsid w:val="00325F01"/>
    <w:rsid w:val="00332DC9"/>
    <w:rsid w:val="00347026"/>
    <w:rsid w:val="00355AF7"/>
    <w:rsid w:val="003A0B1D"/>
    <w:rsid w:val="003A761D"/>
    <w:rsid w:val="003B1D9C"/>
    <w:rsid w:val="003C2A7B"/>
    <w:rsid w:val="003E1DEF"/>
    <w:rsid w:val="003F1FBC"/>
    <w:rsid w:val="003F3E14"/>
    <w:rsid w:val="00401C9F"/>
    <w:rsid w:val="0040517D"/>
    <w:rsid w:val="00415B23"/>
    <w:rsid w:val="00416555"/>
    <w:rsid w:val="004310F4"/>
    <w:rsid w:val="00432EBF"/>
    <w:rsid w:val="00463440"/>
    <w:rsid w:val="0048035E"/>
    <w:rsid w:val="00487F8A"/>
    <w:rsid w:val="004A3B37"/>
    <w:rsid w:val="004B2783"/>
    <w:rsid w:val="004B3352"/>
    <w:rsid w:val="004C1FDF"/>
    <w:rsid w:val="004C4E99"/>
    <w:rsid w:val="004E2BE9"/>
    <w:rsid w:val="004E4F7F"/>
    <w:rsid w:val="00506731"/>
    <w:rsid w:val="00507154"/>
    <w:rsid w:val="005235C8"/>
    <w:rsid w:val="00542D19"/>
    <w:rsid w:val="00546188"/>
    <w:rsid w:val="00563825"/>
    <w:rsid w:val="005A6278"/>
    <w:rsid w:val="005B0E5B"/>
    <w:rsid w:val="005C7D52"/>
    <w:rsid w:val="005D5EB0"/>
    <w:rsid w:val="005E05C2"/>
    <w:rsid w:val="005E1600"/>
    <w:rsid w:val="005F0B4D"/>
    <w:rsid w:val="0061554B"/>
    <w:rsid w:val="0064491A"/>
    <w:rsid w:val="00654E0F"/>
    <w:rsid w:val="006567F5"/>
    <w:rsid w:val="00665DDD"/>
    <w:rsid w:val="006669D3"/>
    <w:rsid w:val="00680DAF"/>
    <w:rsid w:val="00680F8F"/>
    <w:rsid w:val="0068103F"/>
    <w:rsid w:val="00685AF5"/>
    <w:rsid w:val="006906A2"/>
    <w:rsid w:val="00697782"/>
    <w:rsid w:val="006C76C0"/>
    <w:rsid w:val="006F4E0D"/>
    <w:rsid w:val="006F6A49"/>
    <w:rsid w:val="00715A3A"/>
    <w:rsid w:val="00741E23"/>
    <w:rsid w:val="0074522C"/>
    <w:rsid w:val="0074631D"/>
    <w:rsid w:val="007533C6"/>
    <w:rsid w:val="00764AFB"/>
    <w:rsid w:val="007733A9"/>
    <w:rsid w:val="0078438A"/>
    <w:rsid w:val="007861E2"/>
    <w:rsid w:val="007931D9"/>
    <w:rsid w:val="007A3ADC"/>
    <w:rsid w:val="007A5398"/>
    <w:rsid w:val="007A5454"/>
    <w:rsid w:val="007C1765"/>
    <w:rsid w:val="007C2BE0"/>
    <w:rsid w:val="007C6D6D"/>
    <w:rsid w:val="007E1BF8"/>
    <w:rsid w:val="007E2C17"/>
    <w:rsid w:val="007F62D8"/>
    <w:rsid w:val="00802E22"/>
    <w:rsid w:val="008038B3"/>
    <w:rsid w:val="00823FC7"/>
    <w:rsid w:val="008573D0"/>
    <w:rsid w:val="00861BCE"/>
    <w:rsid w:val="0086244C"/>
    <w:rsid w:val="00862D40"/>
    <w:rsid w:val="00875B8A"/>
    <w:rsid w:val="00882AB0"/>
    <w:rsid w:val="008C5BCF"/>
    <w:rsid w:val="008F34C8"/>
    <w:rsid w:val="00901EA9"/>
    <w:rsid w:val="00902A2E"/>
    <w:rsid w:val="00903152"/>
    <w:rsid w:val="00905FAF"/>
    <w:rsid w:val="00914984"/>
    <w:rsid w:val="0094077E"/>
    <w:rsid w:val="00945B21"/>
    <w:rsid w:val="00947CCE"/>
    <w:rsid w:val="0095397A"/>
    <w:rsid w:val="00972FD7"/>
    <w:rsid w:val="0097574D"/>
    <w:rsid w:val="00985EA7"/>
    <w:rsid w:val="009B2F60"/>
    <w:rsid w:val="009B3560"/>
    <w:rsid w:val="009B3A98"/>
    <w:rsid w:val="009C1D1B"/>
    <w:rsid w:val="009D0B57"/>
    <w:rsid w:val="009D270B"/>
    <w:rsid w:val="009E0BBA"/>
    <w:rsid w:val="009E5A42"/>
    <w:rsid w:val="009E7B2D"/>
    <w:rsid w:val="00A10DE8"/>
    <w:rsid w:val="00A13E08"/>
    <w:rsid w:val="00A40A80"/>
    <w:rsid w:val="00A52AD2"/>
    <w:rsid w:val="00A55B44"/>
    <w:rsid w:val="00A827DC"/>
    <w:rsid w:val="00A942FF"/>
    <w:rsid w:val="00A96C1E"/>
    <w:rsid w:val="00A977FD"/>
    <w:rsid w:val="00AD0974"/>
    <w:rsid w:val="00AE5095"/>
    <w:rsid w:val="00AF0FB4"/>
    <w:rsid w:val="00B30901"/>
    <w:rsid w:val="00B3203B"/>
    <w:rsid w:val="00B444AC"/>
    <w:rsid w:val="00B525BA"/>
    <w:rsid w:val="00B84F8E"/>
    <w:rsid w:val="00BA578D"/>
    <w:rsid w:val="00BB2376"/>
    <w:rsid w:val="00BB445F"/>
    <w:rsid w:val="00BC1142"/>
    <w:rsid w:val="00BC2A78"/>
    <w:rsid w:val="00BD1D2C"/>
    <w:rsid w:val="00BE2051"/>
    <w:rsid w:val="00BE2E07"/>
    <w:rsid w:val="00BF3A88"/>
    <w:rsid w:val="00C14D0D"/>
    <w:rsid w:val="00C3399E"/>
    <w:rsid w:val="00C34C0F"/>
    <w:rsid w:val="00C3691B"/>
    <w:rsid w:val="00C51CBA"/>
    <w:rsid w:val="00C529DC"/>
    <w:rsid w:val="00C657DF"/>
    <w:rsid w:val="00C82028"/>
    <w:rsid w:val="00CB240D"/>
    <w:rsid w:val="00CC52E8"/>
    <w:rsid w:val="00CD1B42"/>
    <w:rsid w:val="00CE1C4E"/>
    <w:rsid w:val="00CF6806"/>
    <w:rsid w:val="00D00E72"/>
    <w:rsid w:val="00D026B8"/>
    <w:rsid w:val="00D071E1"/>
    <w:rsid w:val="00D13239"/>
    <w:rsid w:val="00D15BCD"/>
    <w:rsid w:val="00D204E2"/>
    <w:rsid w:val="00D33AB6"/>
    <w:rsid w:val="00D915AD"/>
    <w:rsid w:val="00DA579C"/>
    <w:rsid w:val="00DC6A36"/>
    <w:rsid w:val="00DD2493"/>
    <w:rsid w:val="00E00940"/>
    <w:rsid w:val="00E023D3"/>
    <w:rsid w:val="00E14D9D"/>
    <w:rsid w:val="00E22447"/>
    <w:rsid w:val="00E353B0"/>
    <w:rsid w:val="00E72E99"/>
    <w:rsid w:val="00E741CD"/>
    <w:rsid w:val="00E83306"/>
    <w:rsid w:val="00E84A0F"/>
    <w:rsid w:val="00EA26D2"/>
    <w:rsid w:val="00EB663F"/>
    <w:rsid w:val="00EC1DC5"/>
    <w:rsid w:val="00ED4E71"/>
    <w:rsid w:val="00F12246"/>
    <w:rsid w:val="00F2629D"/>
    <w:rsid w:val="00F56DAF"/>
    <w:rsid w:val="00F61BB9"/>
    <w:rsid w:val="00FC69D6"/>
    <w:rsid w:val="00FE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C68EB"/>
  <w15:docId w15:val="{8A3AD5B1-5E0C-42CB-A12E-D77D4895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B4D"/>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F0B4D"/>
    <w:pPr>
      <w:tabs>
        <w:tab w:val="center" w:pos="4320"/>
        <w:tab w:val="right" w:pos="8640"/>
      </w:tabs>
    </w:pPr>
    <w:rPr>
      <w:sz w:val="16"/>
    </w:rPr>
  </w:style>
  <w:style w:type="paragraph" w:styleId="Footer">
    <w:name w:val="footer"/>
    <w:basedOn w:val="Normal"/>
    <w:rsid w:val="005F0B4D"/>
    <w:pPr>
      <w:tabs>
        <w:tab w:val="center" w:pos="4320"/>
        <w:tab w:val="right" w:pos="8640"/>
      </w:tabs>
    </w:pPr>
    <w:rPr>
      <w:sz w:val="16"/>
    </w:rPr>
  </w:style>
  <w:style w:type="character" w:styleId="PageNumber">
    <w:name w:val="page number"/>
    <w:basedOn w:val="DefaultParagraphFont"/>
    <w:rsid w:val="005F0B4D"/>
  </w:style>
  <w:style w:type="table" w:styleId="TableGrid">
    <w:name w:val="Table Grid"/>
    <w:basedOn w:val="TableNormal"/>
    <w:uiPriority w:val="39"/>
    <w:rsid w:val="00067D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61554B"/>
    <w:pPr>
      <w:spacing w:after="200"/>
    </w:pPr>
    <w:rPr>
      <w:i/>
      <w:iCs/>
      <w:color w:val="1F497D" w:themeColor="text2"/>
      <w:sz w:val="18"/>
      <w:szCs w:val="18"/>
    </w:rPr>
  </w:style>
  <w:style w:type="character" w:styleId="CommentReference">
    <w:name w:val="annotation reference"/>
    <w:basedOn w:val="DefaultParagraphFont"/>
    <w:semiHidden/>
    <w:unhideWhenUsed/>
    <w:rsid w:val="00432EBF"/>
    <w:rPr>
      <w:sz w:val="16"/>
      <w:szCs w:val="16"/>
    </w:rPr>
  </w:style>
  <w:style w:type="paragraph" w:styleId="CommentText">
    <w:name w:val="annotation text"/>
    <w:basedOn w:val="Normal"/>
    <w:link w:val="CommentTextChar"/>
    <w:unhideWhenUsed/>
    <w:rsid w:val="00432EBF"/>
  </w:style>
  <w:style w:type="character" w:customStyle="1" w:styleId="CommentTextChar">
    <w:name w:val="Comment Text Char"/>
    <w:basedOn w:val="DefaultParagraphFont"/>
    <w:link w:val="CommentText"/>
    <w:rsid w:val="00432EBF"/>
    <w:rPr>
      <w:rFonts w:ascii="Arial" w:hAnsi="Arial"/>
    </w:rPr>
  </w:style>
  <w:style w:type="paragraph" w:styleId="CommentSubject">
    <w:name w:val="annotation subject"/>
    <w:basedOn w:val="CommentText"/>
    <w:next w:val="CommentText"/>
    <w:link w:val="CommentSubjectChar"/>
    <w:semiHidden/>
    <w:unhideWhenUsed/>
    <w:rsid w:val="00432EBF"/>
    <w:rPr>
      <w:b/>
      <w:bCs/>
    </w:rPr>
  </w:style>
  <w:style w:type="character" w:customStyle="1" w:styleId="CommentSubjectChar">
    <w:name w:val="Comment Subject Char"/>
    <w:basedOn w:val="CommentTextChar"/>
    <w:link w:val="CommentSubject"/>
    <w:semiHidden/>
    <w:rsid w:val="00432EB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3604">
      <w:bodyDiv w:val="1"/>
      <w:marLeft w:val="0"/>
      <w:marRight w:val="0"/>
      <w:marTop w:val="0"/>
      <w:marBottom w:val="0"/>
      <w:divBdr>
        <w:top w:val="none" w:sz="0" w:space="0" w:color="auto"/>
        <w:left w:val="none" w:sz="0" w:space="0" w:color="auto"/>
        <w:bottom w:val="none" w:sz="0" w:space="0" w:color="auto"/>
        <w:right w:val="none" w:sz="0" w:space="0" w:color="auto"/>
      </w:divBdr>
    </w:div>
    <w:div w:id="223612851">
      <w:bodyDiv w:val="1"/>
      <w:marLeft w:val="0"/>
      <w:marRight w:val="0"/>
      <w:marTop w:val="0"/>
      <w:marBottom w:val="0"/>
      <w:divBdr>
        <w:top w:val="none" w:sz="0" w:space="0" w:color="auto"/>
        <w:left w:val="none" w:sz="0" w:space="0" w:color="auto"/>
        <w:bottom w:val="none" w:sz="0" w:space="0" w:color="auto"/>
        <w:right w:val="none" w:sz="0" w:space="0" w:color="auto"/>
      </w:divBdr>
    </w:div>
    <w:div w:id="1810437229">
      <w:bodyDiv w:val="1"/>
      <w:marLeft w:val="0"/>
      <w:marRight w:val="0"/>
      <w:marTop w:val="0"/>
      <w:marBottom w:val="0"/>
      <w:divBdr>
        <w:top w:val="none" w:sz="0" w:space="0" w:color="auto"/>
        <w:left w:val="none" w:sz="0" w:space="0" w:color="auto"/>
        <w:bottom w:val="none" w:sz="0" w:space="0" w:color="auto"/>
        <w:right w:val="none" w:sz="0" w:space="0" w:color="auto"/>
      </w:divBdr>
    </w:div>
    <w:div w:id="204886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1633</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ACCESSION NO:  98-00</vt:lpstr>
    </vt:vector>
  </TitlesOfParts>
  <Company>ADF&amp;G</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ACCESSION NO:  98-00</dc:title>
  <dc:creator>CFMD-Pathology</dc:creator>
  <cp:lastModifiedBy>Ferguson, Jayde A (DFG)</cp:lastModifiedBy>
  <cp:revision>5</cp:revision>
  <cp:lastPrinted>2024-01-26T18:51:00Z</cp:lastPrinted>
  <dcterms:created xsi:type="dcterms:W3CDTF">2024-01-25T23:18:00Z</dcterms:created>
  <dcterms:modified xsi:type="dcterms:W3CDTF">2024-01-26T18:51:00Z</dcterms:modified>
</cp:coreProperties>
</file>