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3DBA8" w14:textId="27C2E753" w:rsidR="00D15BCD" w:rsidRDefault="00D15BCD" w:rsidP="00A942FF">
      <w:pPr>
        <w:jc w:val="right"/>
      </w:pPr>
      <w:r>
        <w:rPr>
          <w:b/>
        </w:rPr>
        <w:t>ACCESSION NO:</w:t>
      </w:r>
      <w:r>
        <w:t xml:space="preserve">  202</w:t>
      </w:r>
      <w:r w:rsidR="007B46CC">
        <w:t>5</w:t>
      </w:r>
      <w:r>
        <w:t>-</w:t>
      </w:r>
      <w:r w:rsidR="00001532">
        <w:t>00</w:t>
      </w:r>
      <w:r w:rsidR="002315D4">
        <w:t>14</w:t>
      </w:r>
      <w:r w:rsidR="004D43E8">
        <w:t xml:space="preserve"> Addendum</w:t>
      </w:r>
    </w:p>
    <w:p w14:paraId="0343F7D4" w14:textId="77777777" w:rsidR="00397753" w:rsidRDefault="00397753"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5DAE93EC" w14:textId="6B6B024B"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D6DA10D"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1C81AC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34B93BA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4133832A"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703BACE2"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3C645702" w14:textId="76358BC8" w:rsidR="00D15BCD" w:rsidRPr="00E7129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rPr>
          <w:b/>
        </w:rPr>
        <w:t>LOT (YEAR, STOCK, SPECIES)</w:t>
      </w:r>
      <w:r>
        <w:t>:</w:t>
      </w:r>
      <w:r w:rsidR="00144C72">
        <w:t xml:space="preserve"> </w:t>
      </w:r>
      <w:r w:rsidR="00E7129D">
        <w:t xml:space="preserve">Salcha </w:t>
      </w:r>
      <w:r w:rsidR="00333EED">
        <w:t>River</w:t>
      </w:r>
      <w:r w:rsidR="00E7129D">
        <w:t xml:space="preserve"> Chinook</w:t>
      </w:r>
      <w:r w:rsidR="00333EED">
        <w:t xml:space="preserve"> salmon</w:t>
      </w:r>
      <w:r w:rsidR="00E7129D">
        <w:t xml:space="preserve">, </w:t>
      </w:r>
      <w:r w:rsidR="00E7129D">
        <w:rPr>
          <w:i/>
          <w:iCs/>
        </w:rPr>
        <w:t>Oncorhynchus tshawytscha</w:t>
      </w:r>
    </w:p>
    <w:p w14:paraId="706AB9C5" w14:textId="77777777" w:rsidR="00D15BCD" w:rsidRPr="00C51CBA"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tab/>
      </w:r>
      <w:r w:rsidRPr="006F6A49">
        <w:rPr>
          <w:i/>
        </w:rPr>
        <w:t xml:space="preserve"> </w:t>
      </w:r>
    </w:p>
    <w:p w14:paraId="4965B6CC" w14:textId="24A08F96"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t>:</w:t>
      </w:r>
      <w:r w:rsidR="0048035E">
        <w:t xml:space="preserve"> </w:t>
      </w:r>
      <w:r w:rsidR="00333EED">
        <w:t xml:space="preserve">ADF&amp;G Division of Commercial Fisheries Arctic-Yukon-Kuskokwim (AYK) </w:t>
      </w:r>
    </w:p>
    <w:p w14:paraId="5E22903E"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F047615" w14:textId="5CBF414F" w:rsidR="00D15BCD" w:rsidRPr="00E7129D" w:rsidRDefault="00D15BCD" w:rsidP="00D15BCD">
      <w:pPr>
        <w:tabs>
          <w:tab w:val="left" w:pos="288"/>
        </w:tabs>
        <w:ind w:left="3240" w:hanging="3240"/>
        <w:rPr>
          <w:bCs/>
        </w:rPr>
      </w:pPr>
      <w:r>
        <w:rPr>
          <w:b/>
        </w:rPr>
        <w:t>CONTACT PERSON/ADDRESS</w:t>
      </w:r>
      <w:r w:rsidR="002D6194">
        <w:rPr>
          <w:b/>
        </w:rPr>
        <w:t>:</w:t>
      </w:r>
      <w:r w:rsidR="00431154">
        <w:rPr>
          <w:b/>
        </w:rPr>
        <w:t xml:space="preserve"> </w:t>
      </w:r>
      <w:r w:rsidR="00333EED">
        <w:rPr>
          <w:b/>
        </w:rPr>
        <w:tab/>
      </w:r>
      <w:r w:rsidR="00333EED">
        <w:rPr>
          <w:bCs/>
        </w:rPr>
        <w:t>Zach Liller, ADF&amp;G Div. Comm. Fish. AYK, 333 Raspberry Rd., Anchorage, AK 99518</w:t>
      </w:r>
    </w:p>
    <w:p w14:paraId="1933027C" w14:textId="77777777" w:rsidR="00D15BCD" w:rsidRPr="003E1DEF" w:rsidRDefault="00D15BCD" w:rsidP="00D15BCD">
      <w:pPr>
        <w:tabs>
          <w:tab w:val="left" w:pos="288"/>
        </w:tabs>
        <w:ind w:left="3240" w:hanging="3240"/>
      </w:pPr>
      <w:r>
        <w:t xml:space="preserve">  </w:t>
      </w:r>
    </w:p>
    <w:p w14:paraId="4F7D59EC" w14:textId="5659941A" w:rsidR="00333EED" w:rsidRDefault="00D15BCD" w:rsidP="00333EE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SAMPLE DATE</w:t>
      </w:r>
      <w:r>
        <w:t>:</w:t>
      </w:r>
      <w:r w:rsidR="00E7129D">
        <w:t xml:space="preserve"> 8/7/2024</w:t>
      </w:r>
      <w:r w:rsidR="00333EED">
        <w:tab/>
      </w:r>
      <w:r w:rsidR="00333EED">
        <w:tab/>
      </w:r>
      <w:r w:rsidR="00333EED">
        <w:tab/>
      </w:r>
      <w:r w:rsidR="00333EED">
        <w:tab/>
      </w:r>
      <w:r>
        <w:rPr>
          <w:b/>
        </w:rPr>
        <w:t>DATE SAMPLE RECEIVED</w:t>
      </w:r>
      <w:r>
        <w:t>:</w:t>
      </w:r>
      <w:r w:rsidR="005F6E22">
        <w:t xml:space="preserve"> </w:t>
      </w:r>
      <w:r w:rsidR="00E7129D">
        <w:t>8/9/2024</w:t>
      </w:r>
      <w:r w:rsidR="00333EED" w:rsidRPr="00333EED">
        <w:rPr>
          <w:b/>
        </w:rPr>
        <w:t xml:space="preserve"> </w:t>
      </w:r>
      <w:r w:rsidR="00333EED">
        <w:rPr>
          <w:b/>
        </w:rPr>
        <w:tab/>
      </w:r>
      <w:r w:rsidR="00333EED">
        <w:rPr>
          <w:b/>
        </w:rPr>
        <w:tab/>
        <w:t>WILD</w:t>
      </w:r>
      <w:r w:rsidR="00333EED">
        <w:t>: Yes</w:t>
      </w:r>
    </w:p>
    <w:p w14:paraId="0CB13DF4"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6A27D01" w14:textId="06CFE2F8"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w:t>
      </w:r>
      <w:r w:rsidR="00E7129D">
        <w:t xml:space="preserve"> Paired kidney/spleen (</w:t>
      </w:r>
      <w:r w:rsidR="00E7129D">
        <w:rPr>
          <w:rFonts w:cs="Arial"/>
        </w:rPr>
        <w:t>♂</w:t>
      </w:r>
      <w:r w:rsidR="00E7129D">
        <w:t>) and kidney/ovarian fluid</w:t>
      </w:r>
      <w:r w:rsidR="00BD3D23">
        <w:t xml:space="preserve"> (</w:t>
      </w:r>
      <w:r w:rsidR="00BD3D23">
        <w:rPr>
          <w:rFonts w:cs="Arial"/>
        </w:rPr>
        <w:t>♀</w:t>
      </w:r>
      <w:r w:rsidR="00BD3D23">
        <w:t>)</w:t>
      </w:r>
      <w:r>
        <w:tab/>
      </w:r>
      <w:r>
        <w:tab/>
      </w:r>
      <w:r w:rsidR="00333EED">
        <w:tab/>
      </w:r>
      <w:r w:rsidR="00333EED">
        <w:tab/>
      </w:r>
      <w:r w:rsidR="00333EED">
        <w:tab/>
      </w:r>
      <w:r w:rsidR="00333EED">
        <w:tab/>
      </w:r>
      <w:r w:rsidR="00333EED">
        <w:tab/>
      </w:r>
      <w:r w:rsidR="00333EED">
        <w:tab/>
      </w:r>
      <w:r>
        <w:rPr>
          <w:b/>
        </w:rPr>
        <w:t>LIFE STAGE</w:t>
      </w:r>
      <w:r>
        <w:t>:</w:t>
      </w:r>
      <w:r w:rsidR="00E7129D">
        <w:t xml:space="preserve"> Adult</w:t>
      </w:r>
      <w:r w:rsidR="00144C72">
        <w:tab/>
      </w:r>
    </w:p>
    <w:p w14:paraId="22A24E28"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479D1040" w14:textId="7306A84D"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rsidR="00823FC7">
        <w:t xml:space="preserve">: </w:t>
      </w:r>
      <w:r w:rsidR="00333EED">
        <w:t>4 (two males and two females)</w:t>
      </w:r>
    </w:p>
    <w:p w14:paraId="6F85382C"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64C8D06A" w14:textId="36A236BD"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w:t>
      </w:r>
      <w:r w:rsidR="007E2C17">
        <w:t xml:space="preserve"> </w:t>
      </w:r>
      <w:r w:rsidR="00C4699B">
        <w:t>Bagged, numbered, chilled</w:t>
      </w:r>
    </w:p>
    <w:p w14:paraId="06F06A06" w14:textId="77777777" w:rsidR="00D15BCD" w:rsidRPr="004358C3"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3A97BDCF" w14:textId="3C9CD42D" w:rsidR="0014451A" w:rsidRPr="004358C3" w:rsidRDefault="00D15BCD" w:rsidP="00333EE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rPr>
          <w:b/>
        </w:rPr>
        <w:t>HISTORY/SIGNS</w:t>
      </w:r>
      <w:r w:rsidRPr="004358C3">
        <w:t>:</w:t>
      </w:r>
      <w:r w:rsidR="00333EED" w:rsidRPr="004358C3">
        <w:t xml:space="preserve"> These samples were submitted for pathogen screening for a special project to collect Yukon River Chinook salmon broodstock for a small eggtake to support investigations on </w:t>
      </w:r>
      <w:r w:rsidR="00333EED" w:rsidRPr="004358C3">
        <w:rPr>
          <w:i/>
          <w:iCs/>
        </w:rPr>
        <w:t>Ichthyophonus</w:t>
      </w:r>
      <w:r w:rsidR="00333EED" w:rsidRPr="004358C3">
        <w:t xml:space="preserve"> disease in this stock that has been associated with high pre-spawning mortality and poor returns. </w:t>
      </w:r>
    </w:p>
    <w:p w14:paraId="127411A5" w14:textId="77777777" w:rsidR="005B5F57" w:rsidRPr="004358C3" w:rsidRDefault="005B5F57" w:rsidP="00333EE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060BE3A" w14:textId="1193EEB4"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ADF&amp;G and USFWS have secured a grant from the Alaska Sustainable Salmon Fund (AKSSF) to undertake a three-year field study (2022-2024) to determine if </w:t>
      </w:r>
      <w:r w:rsidRPr="004358C3">
        <w:rPr>
          <w:i/>
          <w:iCs/>
        </w:rPr>
        <w:t>Ichthyophonus</w:t>
      </w:r>
      <w:r w:rsidRPr="004358C3">
        <w:t xml:space="preserve"> infection is contributing to the hypothesized large-scale enroute mortality of Canadian-origin Yukon River Chinook salmon. Results of that ongoing study will be used to establish an annual monitoring program, estimate annual </w:t>
      </w:r>
      <w:r w:rsidRPr="004358C3">
        <w:rPr>
          <w:i/>
          <w:iCs/>
        </w:rPr>
        <w:t>Ichthyophonus</w:t>
      </w:r>
      <w:r w:rsidRPr="004358C3">
        <w:t>-associated mortality, and inform sustainable harvest management to achieve bilateral border passage and escapement goal objectives. The original project study design relied on low, mid, and upper river sampling locations to gain information about the in</w:t>
      </w:r>
      <w:r w:rsidR="00E828EF" w:rsidRPr="004358C3">
        <w:t>-</w:t>
      </w:r>
      <w:r w:rsidRPr="004358C3">
        <w:t xml:space="preserve">river disease progression and lethal threshold associated with </w:t>
      </w:r>
      <w:r w:rsidRPr="004358C3">
        <w:rPr>
          <w:i/>
          <w:iCs/>
        </w:rPr>
        <w:t>Ichthyophonus</w:t>
      </w:r>
      <w:r w:rsidRPr="004358C3">
        <w:t xml:space="preserve"> mortality. The proposed upriver location was Eagle Alaska, near the U.S./Canada border. Record low run sizes of Canadian-origin Chinook salmon past the U.S./Canada border resulted in multiple requests by Canadian First Nations to discontinue sampling at Eagle, until run sizes improve. Similarly, ADF&amp;G has heard concerns for lethal sampling from some Alaskan stakeholders, including one formal request from the Eagle Advisory Council to discontinue the project for the 2023 season. In response, ADF&amp;G has planned and alternative lab-based approach that would minimize the need to lethally sample adult Chinook salmon at Eagle, and still allow for a meaningful contribution to the high priority goal of estimating the lethal threshold of </w:t>
      </w:r>
      <w:r w:rsidRPr="004358C3">
        <w:rPr>
          <w:i/>
          <w:iCs/>
        </w:rPr>
        <w:t>Ichthyophonus</w:t>
      </w:r>
      <w:r w:rsidRPr="004358C3">
        <w:t xml:space="preserve"> for Canadian-origin Chinook salmon.</w:t>
      </w:r>
    </w:p>
    <w:p w14:paraId="34E35F70" w14:textId="77777777"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A6E80B9" w14:textId="4E3AB4D3"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Lab-based approaches have been used successfully to evaluate the lethal </w:t>
      </w:r>
      <w:r w:rsidRPr="004358C3">
        <w:rPr>
          <w:i/>
          <w:iCs/>
        </w:rPr>
        <w:t>Ichthyophonus</w:t>
      </w:r>
      <w:r w:rsidRPr="004358C3">
        <w:t xml:space="preserve"> threshold associated with mortality of Chinook salmon. A previous study used fish from the Whitehorse Hatchery (Yukon Territory, Canada) to challenge with an </w:t>
      </w:r>
      <w:r w:rsidRPr="004358C3">
        <w:rPr>
          <w:i/>
          <w:iCs/>
        </w:rPr>
        <w:t>Ichthyophonus</w:t>
      </w:r>
      <w:r w:rsidRPr="004358C3">
        <w:t xml:space="preserve"> isolate from Puget Sound and found that 30% of the Yukon Chinook salmon died compared to only 1% of the Salish Sea Chinook salmon stock (Elliott et al 2021).  However, this study did not use the endemic strain of </w:t>
      </w:r>
      <w:r w:rsidRPr="004358C3">
        <w:rPr>
          <w:i/>
          <w:iCs/>
        </w:rPr>
        <w:t>Ichthyophonus</w:t>
      </w:r>
      <w:r w:rsidRPr="004358C3">
        <w:t xml:space="preserve"> that occurs in the Yukon, which has been shown to be genetically different (Gregg et al. 2022) and thus may result in a different lethal threshold. ADF&amp;G has partnered with fish pathology experts from the U.S. Geological Survey (USGS) and Alaska Pacific University (APU) to conduct controlled laboratory studies that are directly applicable to the Yukon River situation. </w:t>
      </w:r>
    </w:p>
    <w:p w14:paraId="20D5AF7E" w14:textId="77777777"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C4D2840" w14:textId="64403486"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ADF&amp;G, USGS, and APU have begun a multi-year (2023-2025) laboratory study where Alaskan-origin Yukon Chinook salmon smolts from the Tanana River will be used for </w:t>
      </w:r>
      <w:r w:rsidRPr="004358C3">
        <w:rPr>
          <w:i/>
          <w:iCs/>
        </w:rPr>
        <w:t>Ichthyophonus</w:t>
      </w:r>
      <w:r w:rsidRPr="004358C3">
        <w:t xml:space="preserve"> infection trials, using the same parasite strain that infects Yukon River Chinook salmon.  In 2023, our research team conducted </w:t>
      </w:r>
      <w:r w:rsidRPr="004358C3">
        <w:lastRenderedPageBreak/>
        <w:t>a feasibility study that addressed the logistics of transporting live smolts to USGS Western Fisheries Research Center, in Marrowstone</w:t>
      </w:r>
      <w:r w:rsidR="006D0F82" w:rsidRPr="004358C3">
        <w:t>,</w:t>
      </w:r>
      <w:r w:rsidRPr="004358C3">
        <w:t xml:space="preserve"> Washington, and provided preliminary infection insights. We sent 100 Ship Creek Chinook salmon smolts from the William Jack Hernandez Hatchery (WJH) </w:t>
      </w:r>
      <w:r w:rsidR="00E828EF" w:rsidRPr="004358C3">
        <w:t>that</w:t>
      </w:r>
      <w:r w:rsidRPr="004358C3">
        <w:t xml:space="preserve"> all survived transport </w:t>
      </w:r>
      <w:r w:rsidR="00E828EF" w:rsidRPr="004358C3">
        <w:t>in which</w:t>
      </w:r>
      <w:r w:rsidRPr="004358C3">
        <w:t xml:space="preserve"> 97% of the fish cleared the infection post-challenge (Pathology Lab Report Acc. No. 24-0018). The infection trial feasibility results confirmed that we can successfully ship Alaskan Chinook salmon smolt</w:t>
      </w:r>
      <w:r w:rsidR="006D0F82" w:rsidRPr="004358C3">
        <w:t>s</w:t>
      </w:r>
      <w:r w:rsidRPr="004358C3">
        <w:t xml:space="preserve"> to the USGS lab in Washington. However, the preliminary infection results confirmed that non-Yukon Chinook salmon are not a suitable surrogate, and we must use the Yukon stock of Chinook salmon for these studies.</w:t>
      </w:r>
    </w:p>
    <w:p w14:paraId="41A3E58B" w14:textId="77777777"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70E006F" w14:textId="06DF9562"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For the 2024 study year, we secured an Aquatic </w:t>
      </w:r>
      <w:r w:rsidR="00E828EF" w:rsidRPr="004358C3">
        <w:t>C</w:t>
      </w:r>
      <w:r w:rsidRPr="004358C3">
        <w:t xml:space="preserve">ollection and </w:t>
      </w:r>
      <w:r w:rsidR="00E828EF" w:rsidRPr="004358C3">
        <w:t>T</w:t>
      </w:r>
      <w:r w:rsidRPr="004358C3">
        <w:t xml:space="preserve">ransfer </w:t>
      </w:r>
      <w:r w:rsidR="00E828EF" w:rsidRPr="004358C3">
        <w:t>P</w:t>
      </w:r>
      <w:r w:rsidRPr="004358C3">
        <w:t xml:space="preserve">ermit to obtain and ship </w:t>
      </w:r>
      <w:r w:rsidR="006D0F82" w:rsidRPr="004358C3">
        <w:t>as many as</w:t>
      </w:r>
      <w:r w:rsidRPr="004358C3">
        <w:t xml:space="preserve"> 250 smolts from the Tanana River, near Fairbanks, to the USGS’s Western Fisheries Research Center in Marrowstone Washington. These fish will be used for short-term holding and experimental infection with the Yukon</w:t>
      </w:r>
      <w:r w:rsidR="006D0F82" w:rsidRPr="004358C3">
        <w:t xml:space="preserve"> River</w:t>
      </w:r>
      <w:r w:rsidRPr="004358C3">
        <w:t xml:space="preserve"> </w:t>
      </w:r>
      <w:r w:rsidRPr="004358C3">
        <w:rPr>
          <w:i/>
          <w:iCs/>
        </w:rPr>
        <w:t>Ichthyophonus</w:t>
      </w:r>
      <w:r w:rsidRPr="004358C3">
        <w:t xml:space="preserve"> strain. Smolt trapping efforts in the lower portion of the Chena and Salcha rivers were led by the Fairbanks ADF&amp;G Division of Sport Fish. Smolt trapping occurred Monday – Thursday each week for the entire month of May 2024. Each day, up to 50 baited minnow traps were used. Despite this moderate level of effort, only 104 Chinook salmon smolt</w:t>
      </w:r>
      <w:r w:rsidR="006D0F82" w:rsidRPr="004358C3">
        <w:t>s</w:t>
      </w:r>
      <w:r w:rsidRPr="004358C3">
        <w:t xml:space="preserve"> were captured. All smolt</w:t>
      </w:r>
      <w:r w:rsidR="006D0F82" w:rsidRPr="004358C3">
        <w:t>s</w:t>
      </w:r>
      <w:r w:rsidRPr="004358C3">
        <w:t xml:space="preserve"> survived shipment to Marrowstone, WA, were successfully converted to eating processed food (ground herring) and actively underwent smoltification by systematically increasing salinity in holding tanks. </w:t>
      </w:r>
    </w:p>
    <w:p w14:paraId="7A1E21B3" w14:textId="77777777" w:rsidR="00E45A84" w:rsidRPr="004358C3" w:rsidRDefault="00E45A84"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4CDD2CE" w14:textId="66710809" w:rsidR="005B5F57" w:rsidRPr="004358C3" w:rsidRDefault="005B5F57" w:rsidP="005B5F57">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The number of smolts obtained in 2024 was adequate for the minimum number of samples required for this pilot-study work but requires an increased sample size for year 2 (2025) through a small egg-take for more conclusive results and control </w:t>
      </w:r>
      <w:r w:rsidR="006D0F82" w:rsidRPr="004358C3">
        <w:t>of</w:t>
      </w:r>
      <w:r w:rsidRPr="004358C3">
        <w:t xml:space="preserve"> other pertinent factors.</w:t>
      </w:r>
      <w:r w:rsidR="00E45A84" w:rsidRPr="004358C3">
        <w:t xml:space="preserve"> </w:t>
      </w:r>
      <w:r w:rsidRPr="004358C3">
        <w:t>The study design requires a minimum of 90 smolt</w:t>
      </w:r>
      <w:r w:rsidR="006D0F82" w:rsidRPr="004358C3">
        <w:t>s</w:t>
      </w:r>
      <w:r w:rsidRPr="004358C3">
        <w:t xml:space="preserve"> to support three treatments (injection trial, feed trial, and sham control), three replicates, and 10 fish per replicate. </w:t>
      </w:r>
      <w:r w:rsidR="00E45A84" w:rsidRPr="004358C3">
        <w:t>Therefore i</w:t>
      </w:r>
      <w:r w:rsidRPr="004358C3">
        <w:t xml:space="preserve">n 2025, we </w:t>
      </w:r>
      <w:r w:rsidR="00E45A84" w:rsidRPr="004358C3">
        <w:t>will</w:t>
      </w:r>
      <w:r w:rsidRPr="004358C3">
        <w:t xml:space="preserve"> increase the number of individuals per replicate trial and </w:t>
      </w:r>
      <w:r w:rsidR="00E45A84" w:rsidRPr="004358C3">
        <w:t>most likely include important co-factors, such</w:t>
      </w:r>
      <w:r w:rsidRPr="004358C3">
        <w:t xml:space="preserve"> </w:t>
      </w:r>
      <w:r w:rsidR="006D0F82" w:rsidRPr="004358C3">
        <w:t xml:space="preserve">as </w:t>
      </w:r>
      <w:r w:rsidRPr="004358C3">
        <w:t xml:space="preserve">temperature and swim trials to more accurately reflect the range of natural conditions experienced </w:t>
      </w:r>
      <w:r w:rsidR="00E45A84" w:rsidRPr="004358C3">
        <w:t xml:space="preserve">by these fish </w:t>
      </w:r>
      <w:r w:rsidRPr="004358C3">
        <w:t>in the Yukon River. This is only possible with increased numbers of smolt</w:t>
      </w:r>
      <w:r w:rsidR="00E45A84" w:rsidRPr="004358C3">
        <w:t xml:space="preserve">s and since trapping wild fish has not </w:t>
      </w:r>
      <w:r w:rsidRPr="004358C3">
        <w:t>yield</w:t>
      </w:r>
      <w:r w:rsidR="00E45A84" w:rsidRPr="004358C3">
        <w:t>ed</w:t>
      </w:r>
      <w:r w:rsidRPr="004358C3">
        <w:t xml:space="preserve"> substantially large</w:t>
      </w:r>
      <w:r w:rsidR="00E45A84" w:rsidRPr="004358C3">
        <w:t xml:space="preserve"> enough</w:t>
      </w:r>
      <w:r w:rsidRPr="004358C3">
        <w:t xml:space="preserve"> sample sizes, we are </w:t>
      </w:r>
      <w:r w:rsidR="00E45A84" w:rsidRPr="004358C3">
        <w:t>instead performing a small eggtake to provide enough resultant smolts</w:t>
      </w:r>
      <w:r w:rsidRPr="004358C3">
        <w:t xml:space="preserve"> to accommodate a wide range of laboratory infection and stress trials and mitigate mortality during rearing, shipping, and pre-trial growth. Collection and spawning of broodstock w</w:t>
      </w:r>
      <w:r w:rsidR="00E45A84" w:rsidRPr="004358C3">
        <w:t>as</w:t>
      </w:r>
      <w:r w:rsidRPr="004358C3">
        <w:t xml:space="preserve"> coordinated with ADF&amp;G, Division of Sport Fish. </w:t>
      </w:r>
      <w:r w:rsidR="00E45A84" w:rsidRPr="004358C3">
        <w:t xml:space="preserve">Fertilized eggs have been incubating at the Ruth Burnett Sport Fish Hatchery in Fairbanks, Alaska where fish will be reared with accelerated growth conditions to produce pre-smolts by next spring to transport </w:t>
      </w:r>
      <w:r w:rsidRPr="004358C3">
        <w:t>to the USGS lab in Marrowstone, WA</w:t>
      </w:r>
      <w:r w:rsidR="00E45A84" w:rsidRPr="004358C3">
        <w:t xml:space="preserve"> for infection trials</w:t>
      </w:r>
      <w:r w:rsidRPr="004358C3">
        <w:t xml:space="preserve">. </w:t>
      </w:r>
    </w:p>
    <w:p w14:paraId="50A370A1" w14:textId="77777777" w:rsidR="0014451A" w:rsidRPr="004358C3" w:rsidRDefault="0014451A" w:rsidP="00333EE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7EB51A2" w14:textId="727AC0F5" w:rsidR="00D15BCD" w:rsidRPr="004358C3" w:rsidRDefault="0014451A" w:rsidP="0014451A">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 xml:space="preserve">To reduce the likelihood of these fish developing BKD during this research project, kidneys from both females were submitted for BKD Family Tracking and tissues from both sexes were tested for other common pathogens as part of a normal Disease History update. </w:t>
      </w:r>
    </w:p>
    <w:p w14:paraId="2071B25D" w14:textId="77777777" w:rsidR="0014451A" w:rsidRPr="004358C3" w:rsidRDefault="0014451A" w:rsidP="0014451A">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3C82A6EA" w14:textId="77777777" w:rsidR="00095642" w:rsidRPr="004358C3" w:rsidRDefault="00D15BCD" w:rsidP="0009564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rPr>
          <w:b/>
        </w:rPr>
        <w:t>REASON FOR SUBMISSION</w:t>
      </w:r>
      <w:r w:rsidRPr="004358C3">
        <w:t>:</w:t>
      </w:r>
      <w:r w:rsidR="005F6E22" w:rsidRPr="004358C3">
        <w:t xml:space="preserve"> </w:t>
      </w:r>
      <w:r w:rsidR="0014451A" w:rsidRPr="004358C3">
        <w:tab/>
        <w:t xml:space="preserve">BKD Family Tracking and update Disease History </w:t>
      </w:r>
      <w:r w:rsidR="00095642" w:rsidRPr="004358C3">
        <w:t xml:space="preserve">per stipulations of the </w:t>
      </w:r>
    </w:p>
    <w:p w14:paraId="34B66CE1" w14:textId="439575E0" w:rsidR="00095642" w:rsidRPr="004358C3" w:rsidRDefault="00095642" w:rsidP="0009564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ab/>
      </w:r>
      <w:r w:rsidRPr="004358C3">
        <w:tab/>
      </w:r>
      <w:r w:rsidRPr="004358C3">
        <w:tab/>
      </w:r>
      <w:r w:rsidRPr="004358C3">
        <w:tab/>
        <w:t xml:space="preserve">approved Aquatic Resource Permit # </w:t>
      </w:r>
      <w:r w:rsidRPr="004358C3">
        <w:rPr>
          <w:u w:val="single"/>
        </w:rPr>
        <w:t>P-24-031</w:t>
      </w:r>
      <w:r w:rsidRPr="004358C3">
        <w:t xml:space="preserve"> </w:t>
      </w:r>
      <w:r w:rsidR="0014451A" w:rsidRPr="004358C3">
        <w:t xml:space="preserve">for </w:t>
      </w:r>
      <w:r w:rsidRPr="004358C3">
        <w:t xml:space="preserve">this </w:t>
      </w:r>
      <w:r w:rsidR="0014451A" w:rsidRPr="004358C3">
        <w:t xml:space="preserve">special project </w:t>
      </w:r>
    </w:p>
    <w:p w14:paraId="49A7987B" w14:textId="548ED14B" w:rsidR="00D15BCD" w:rsidRPr="004358C3" w:rsidRDefault="00095642" w:rsidP="0009564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358C3">
        <w:tab/>
      </w:r>
      <w:r w:rsidRPr="004358C3">
        <w:tab/>
      </w:r>
      <w:r w:rsidRPr="004358C3">
        <w:tab/>
      </w:r>
      <w:r w:rsidRPr="004358C3">
        <w:tab/>
      </w:r>
      <w:r w:rsidR="0014451A" w:rsidRPr="004358C3">
        <w:t xml:space="preserve">involving </w:t>
      </w:r>
      <w:r w:rsidR="0014451A" w:rsidRPr="004358C3">
        <w:rPr>
          <w:i/>
          <w:iCs/>
        </w:rPr>
        <w:t>Ichthyophonus</w:t>
      </w:r>
      <w:r w:rsidR="0014451A" w:rsidRPr="004358C3">
        <w:t xml:space="preserve"> infection trials for Yukon River Chinook salmon </w:t>
      </w:r>
    </w:p>
    <w:p w14:paraId="3D917E5A" w14:textId="77777777" w:rsidR="00D15BCD" w:rsidRPr="004358C3"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1A90A1B" w14:textId="2258600F" w:rsidR="00D15BCD" w:rsidRDefault="00D15BCD"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FINAL REPORT DATE</w:t>
      </w:r>
      <w:r>
        <w:t>:</w:t>
      </w:r>
      <w:r w:rsidR="009407B6">
        <w:t xml:space="preserve"> 10/8/2024</w:t>
      </w:r>
      <w:r w:rsidR="004D43E8">
        <w:t xml:space="preserve">; </w:t>
      </w:r>
      <w:r w:rsidR="004D43E8" w:rsidRPr="004D43E8">
        <w:rPr>
          <w:color w:val="FF0000"/>
        </w:rPr>
        <w:t>Addendum with thiamine results 11/22/24</w:t>
      </w:r>
      <w:r w:rsidRPr="004D43E8">
        <w:rPr>
          <w:color w:val="FF0000"/>
        </w:rPr>
        <w:t xml:space="preserve"> </w:t>
      </w:r>
    </w:p>
    <w:p w14:paraId="1CF56542" w14:textId="77777777" w:rsidR="00D15BCD" w:rsidRDefault="00D15BCD" w:rsidP="00D15BCD">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0D3A5857"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125BC066"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t>CLINICAL FINDINGS</w:t>
      </w:r>
    </w:p>
    <w:p w14:paraId="17E4FF61" w14:textId="2AF035F1"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FAT</w:t>
      </w:r>
      <w:r>
        <w:t>:</w:t>
      </w:r>
      <w:r>
        <w:tab/>
      </w:r>
      <w:r w:rsidR="00B40E28">
        <w:t>0/2 f</w:t>
      </w:r>
      <w:r w:rsidR="00B40E28" w:rsidRPr="00B40E28">
        <w:t>emale</w:t>
      </w:r>
      <w:r>
        <w:t xml:space="preserve"> kidneys positive for </w:t>
      </w:r>
      <w:proofErr w:type="spellStart"/>
      <w:r>
        <w:rPr>
          <w:i/>
          <w:iCs/>
        </w:rPr>
        <w:t>Renibacterium</w:t>
      </w:r>
      <w:proofErr w:type="spellEnd"/>
      <w:r>
        <w:rPr>
          <w:i/>
          <w:iCs/>
        </w:rPr>
        <w:t xml:space="preserve"> </w:t>
      </w:r>
      <w:proofErr w:type="spellStart"/>
      <w:r>
        <w:rPr>
          <w:i/>
          <w:iCs/>
        </w:rPr>
        <w:t>salmoninarum</w:t>
      </w:r>
      <w:proofErr w:type="spellEnd"/>
    </w:p>
    <w:p w14:paraId="347B6F12" w14:textId="5C5216D2"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p>
    <w:p w14:paraId="7E60CC91" w14:textId="6920ABD9"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720" w:hanging="720"/>
        <w:rPr>
          <w:spacing w:val="-2"/>
        </w:rPr>
      </w:pPr>
      <w:r>
        <w:rPr>
          <w:b/>
        </w:rPr>
        <w:t>ELISA</w:t>
      </w:r>
      <w:r>
        <w:t>:</w:t>
      </w:r>
      <w:r>
        <w:tab/>
      </w:r>
      <w:r w:rsidR="00B40E28">
        <w:t>0/4</w:t>
      </w:r>
      <w:r>
        <w:t xml:space="preserve"> kidney tissues positive for </w:t>
      </w:r>
      <w:r>
        <w:rPr>
          <w:i/>
          <w:iCs/>
        </w:rPr>
        <w:t>Renibacterium salmoninarum</w:t>
      </w:r>
      <w:r>
        <w:t xml:space="preserve"> </w:t>
      </w:r>
      <w:r>
        <w:rPr>
          <w:spacing w:val="-2"/>
        </w:rPr>
        <w:t>(Rs).</w:t>
      </w:r>
      <w:r>
        <w:rPr>
          <w:spacing w:val="-2"/>
          <w:u w:val="words"/>
        </w:rPr>
        <w:t xml:space="preserve">  </w:t>
      </w:r>
      <w:r>
        <w:rPr>
          <w:spacing w:val="-2"/>
        </w:rPr>
        <w:t>Mean optical density values  </w:t>
      </w:r>
      <w:r>
        <w:rPr>
          <w:spacing w:val="-2"/>
        </w:rPr>
        <w:sym w:font="Symbol" w:char="F0B3"/>
      </w:r>
      <w:r>
        <w:rPr>
          <w:spacing w:val="-2"/>
        </w:rPr>
        <w:t> 0.085 were considered positive for the antigen of Rs.</w:t>
      </w:r>
    </w:p>
    <w:p w14:paraId="6294DE5E" w14:textId="77777777"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spacing w:val="-2"/>
        </w:rPr>
      </w:pPr>
    </w:p>
    <w:p w14:paraId="43C2F6C2" w14:textId="4683865C" w:rsidR="002D77C8" w:rsidRPr="00CC3D4C" w:rsidRDefault="00D13239" w:rsidP="002D77C8">
      <w:pPr>
        <w:rPr>
          <w:rFonts w:eastAsia="Calibri" w:cs="Arial"/>
          <w:b/>
          <w:bCs/>
          <w:color w:val="000000"/>
        </w:rPr>
      </w:pPr>
      <w:r w:rsidRPr="00CC14E4">
        <w:rPr>
          <w:rFonts w:eastAsia="Calibri" w:cs="Arial"/>
          <w:b/>
          <w:bCs/>
          <w:color w:val="000000"/>
        </w:rPr>
        <w:t>qPCR</w:t>
      </w:r>
      <w:r w:rsidR="00CC3D4C">
        <w:rPr>
          <w:rFonts w:eastAsia="Calibri" w:cs="Arial"/>
          <w:b/>
          <w:bCs/>
          <w:color w:val="000000"/>
        </w:rPr>
        <w:t xml:space="preserve"> e</w:t>
      </w:r>
      <w:r w:rsidRPr="00CC14E4">
        <w:rPr>
          <w:rFonts w:eastAsia="Calibri" w:cs="Arial"/>
          <w:b/>
          <w:bCs/>
          <w:color w:val="000000"/>
        </w:rPr>
        <w:t>xtraction and assay details:</w:t>
      </w:r>
      <w:r w:rsidR="002D77C8">
        <w:rPr>
          <w:rFonts w:eastAsia="Calibri" w:cs="Arial"/>
          <w:b/>
          <w:bCs/>
          <w:color w:val="000000"/>
        </w:rPr>
        <w:t xml:space="preserve"> </w:t>
      </w:r>
      <w:r w:rsidR="002D77C8" w:rsidRPr="00CC14E4">
        <w:rPr>
          <w:rFonts w:eastAsia="Calibri" w:cs="Arial"/>
          <w:color w:val="000000"/>
        </w:rPr>
        <w:t xml:space="preserve">DNA from </w:t>
      </w:r>
      <w:r w:rsidR="002D77C8" w:rsidRPr="00CC14E4">
        <w:rPr>
          <w:rFonts w:eastAsia="Calibri" w:cs="Arial"/>
          <w:spacing w:val="-2"/>
        </w:rPr>
        <w:t xml:space="preserve">approximately </w:t>
      </w:r>
      <w:r w:rsidR="002D77C8">
        <w:rPr>
          <w:rFonts w:eastAsia="Calibri" w:cs="Arial"/>
          <w:spacing w:val="-2"/>
        </w:rPr>
        <w:t>20m</w:t>
      </w:r>
      <w:r w:rsidR="002D77C8" w:rsidRPr="00CC14E4">
        <w:rPr>
          <w:rFonts w:eastAsia="Calibri" w:cs="Arial"/>
          <w:spacing w:val="-2"/>
        </w:rPr>
        <w:t xml:space="preserve">g of kidney tissue </w:t>
      </w:r>
      <w:r w:rsidR="002D77C8">
        <w:rPr>
          <w:rFonts w:eastAsia="Calibri" w:cs="Arial"/>
          <w:spacing w:val="-2"/>
        </w:rPr>
        <w:t xml:space="preserve">or 100uL of ovarian fluid </w:t>
      </w:r>
      <w:r w:rsidR="002D77C8" w:rsidRPr="00CC14E4">
        <w:rPr>
          <w:rFonts w:eastAsia="Calibri" w:cs="Arial"/>
          <w:spacing w:val="-2"/>
        </w:rPr>
        <w:t xml:space="preserve">was extracted </w:t>
      </w:r>
      <w:r w:rsidR="002D77C8">
        <w:rPr>
          <w:rFonts w:eastAsia="Calibri" w:cs="Arial"/>
          <w:spacing w:val="-2"/>
        </w:rPr>
        <w:t>following</w:t>
      </w:r>
      <w:r w:rsidR="002D77C8" w:rsidRPr="00CC14E4">
        <w:rPr>
          <w:rFonts w:eastAsia="Calibri" w:cs="Arial"/>
          <w:spacing w:val="-2"/>
        </w:rPr>
        <w:t xml:space="preserve"> th</w:t>
      </w:r>
      <w:r w:rsidR="002D77C8" w:rsidRPr="00CC14E4">
        <w:rPr>
          <w:rFonts w:eastAsia="Calibri" w:cs="Arial"/>
          <w:color w:val="000000"/>
        </w:rPr>
        <w:t xml:space="preserve">e </w:t>
      </w:r>
      <w:r w:rsidR="002D77C8">
        <w:rPr>
          <w:rFonts w:eastAsia="Calibri" w:cs="Arial"/>
          <w:color w:val="000000"/>
        </w:rPr>
        <w:t>modified Complex</w:t>
      </w:r>
      <w:r w:rsidR="002D77C8" w:rsidRPr="00CC14E4">
        <w:rPr>
          <w:rFonts w:eastAsia="Calibri" w:cs="Arial"/>
          <w:color w:val="000000"/>
        </w:rPr>
        <w:t xml:space="preserve"> Workflow for the </w:t>
      </w:r>
      <w:proofErr w:type="spellStart"/>
      <w:r w:rsidR="002D77C8" w:rsidRPr="00CC14E4">
        <w:rPr>
          <w:rFonts w:eastAsia="Calibri" w:cs="Arial"/>
          <w:color w:val="000000"/>
        </w:rPr>
        <w:t>MagMAX</w:t>
      </w:r>
      <w:proofErr w:type="spellEnd"/>
      <w:r w:rsidR="002D77C8" w:rsidRPr="00CC14E4">
        <w:rPr>
          <w:rFonts w:eastAsia="Calibri" w:cs="Arial"/>
          <w:color w:val="000000"/>
        </w:rPr>
        <w:t xml:space="preserve"> CORE Nucleic Acid Purification Kit on a </w:t>
      </w:r>
      <w:proofErr w:type="spellStart"/>
      <w:r w:rsidR="002D77C8" w:rsidRPr="00CC14E4">
        <w:rPr>
          <w:rFonts w:eastAsia="Calibri" w:cs="Arial"/>
          <w:color w:val="000000"/>
        </w:rPr>
        <w:t>KingFisher</w:t>
      </w:r>
      <w:proofErr w:type="spellEnd"/>
      <w:r w:rsidR="002D77C8" w:rsidRPr="00CC14E4">
        <w:rPr>
          <w:rFonts w:eastAsia="Calibri" w:cs="Arial"/>
          <w:color w:val="000000"/>
        </w:rPr>
        <w:t xml:space="preserve"> Flex purification system.</w:t>
      </w:r>
      <w:r w:rsidR="002D77C8">
        <w:rPr>
          <w:rFonts w:eastAsia="Calibri" w:cs="Arial"/>
          <w:color w:val="000000"/>
        </w:rPr>
        <w:t xml:space="preserve"> For </w:t>
      </w:r>
      <w:r w:rsidR="00CC3D4C">
        <w:rPr>
          <w:rFonts w:eastAsia="Calibri" w:cs="Arial"/>
          <w:color w:val="000000"/>
        </w:rPr>
        <w:t xml:space="preserve">the </w:t>
      </w:r>
      <w:r w:rsidR="002D77C8" w:rsidRPr="00CC3D4C">
        <w:rPr>
          <w:rFonts w:eastAsia="Calibri" w:cs="Arial"/>
          <w:i/>
          <w:iCs/>
          <w:color w:val="000000"/>
        </w:rPr>
        <w:t>R. salmoninarum</w:t>
      </w:r>
      <w:r w:rsidR="00CC3D4C">
        <w:rPr>
          <w:rFonts w:eastAsia="Calibri" w:cs="Arial"/>
          <w:color w:val="000000"/>
        </w:rPr>
        <w:t xml:space="preserve"> qPCR,</w:t>
      </w:r>
      <w:r w:rsidR="002D77C8">
        <w:rPr>
          <w:rFonts w:eastAsia="Calibri" w:cs="Arial"/>
          <w:color w:val="000000"/>
        </w:rPr>
        <w:t xml:space="preserve"> t</w:t>
      </w:r>
      <w:r w:rsidR="002D77C8" w:rsidRPr="002D77C8">
        <w:rPr>
          <w:rFonts w:eastAsia="Calibri" w:cs="Arial"/>
          <w:color w:val="000000"/>
        </w:rPr>
        <w:t xml:space="preserve">he ATCC 33209 strain of </w:t>
      </w:r>
      <w:r w:rsidR="002D77C8" w:rsidRPr="00CC3D4C">
        <w:rPr>
          <w:rFonts w:eastAsia="Calibri" w:cs="Arial"/>
          <w:i/>
          <w:iCs/>
          <w:color w:val="000000"/>
        </w:rPr>
        <w:t>R. salmoninarum</w:t>
      </w:r>
      <w:r w:rsidR="002D77C8" w:rsidRPr="002D77C8">
        <w:rPr>
          <w:rFonts w:eastAsia="Calibri" w:cs="Arial"/>
          <w:color w:val="000000"/>
        </w:rPr>
        <w:t xml:space="preserve"> was cultured to determine bacterial concentration prior to use in </w:t>
      </w:r>
      <w:r w:rsidR="00CC3D4C">
        <w:rPr>
          <w:rFonts w:eastAsia="Calibri" w:cs="Arial"/>
          <w:color w:val="000000"/>
        </w:rPr>
        <w:t>q</w:t>
      </w:r>
      <w:r w:rsidR="002D77C8" w:rsidRPr="002D77C8">
        <w:rPr>
          <w:rFonts w:eastAsia="Calibri" w:cs="Arial"/>
          <w:color w:val="000000"/>
        </w:rPr>
        <w:t xml:space="preserve">PCR quantification.  Serial dilutions (ten-fold) of the bacterial suspension were analyzed using membrane </w:t>
      </w:r>
      <w:r w:rsidR="002D77C8" w:rsidRPr="002D77C8">
        <w:rPr>
          <w:rFonts w:eastAsia="Calibri" w:cs="Arial"/>
          <w:color w:val="000000"/>
        </w:rPr>
        <w:lastRenderedPageBreak/>
        <w:t xml:space="preserve">filtration FAT. Dilutions of the bacterium were filtered through a 13 mm, 0.2µm Nucleopore polycarbonate filter and a 13mm, 5.0 µm Membra-fil cellulose filter, stained with FITC conjugated anti-Rs antiserum and counterstained with Eriochrome Black.  A standard curve was generated using the bacterial dilutions. The DNA from the bacterial dilutions were run in triplicate using </w:t>
      </w:r>
      <w:r w:rsidR="00CC3D4C">
        <w:rPr>
          <w:rFonts w:eastAsia="Calibri" w:cs="Arial"/>
          <w:color w:val="000000"/>
        </w:rPr>
        <w:t>q</w:t>
      </w:r>
      <w:r w:rsidR="002D77C8" w:rsidRPr="002D77C8">
        <w:rPr>
          <w:rFonts w:eastAsia="Calibri" w:cs="Arial"/>
          <w:color w:val="000000"/>
        </w:rPr>
        <w:t xml:space="preserve">PCR representing a range of </w:t>
      </w:r>
      <w:r w:rsidR="00CC3D4C">
        <w:rPr>
          <w:rFonts w:eastAsia="Calibri" w:cs="Arial"/>
          <w:color w:val="000000"/>
        </w:rPr>
        <w:t>40-</w:t>
      </w:r>
      <w:r w:rsidR="002D77C8" w:rsidRPr="002D77C8">
        <w:rPr>
          <w:rFonts w:eastAsia="Calibri" w:cs="Arial"/>
          <w:color w:val="000000"/>
        </w:rPr>
        <w:t>4 x 10</w:t>
      </w:r>
      <w:r w:rsidR="002D77C8" w:rsidRPr="00CC3D4C">
        <w:rPr>
          <w:rFonts w:eastAsia="Calibri" w:cs="Arial"/>
          <w:color w:val="000000"/>
          <w:vertAlign w:val="superscript"/>
        </w:rPr>
        <w:t>6</w:t>
      </w:r>
      <w:r w:rsidR="002D77C8" w:rsidRPr="002D77C8">
        <w:rPr>
          <w:rFonts w:eastAsia="Calibri" w:cs="Arial"/>
          <w:color w:val="000000"/>
        </w:rPr>
        <w:t xml:space="preserve"> </w:t>
      </w:r>
      <w:r w:rsidR="002D77C8" w:rsidRPr="00CC3D4C">
        <w:rPr>
          <w:rFonts w:eastAsia="Calibri" w:cs="Arial"/>
          <w:i/>
          <w:iCs/>
          <w:color w:val="000000"/>
        </w:rPr>
        <w:t>R. salmoninarum</w:t>
      </w:r>
      <w:r w:rsidR="002D77C8" w:rsidRPr="002D77C8">
        <w:rPr>
          <w:rFonts w:eastAsia="Calibri" w:cs="Arial"/>
          <w:color w:val="000000"/>
        </w:rPr>
        <w:t xml:space="preserve"> cells/reaction.  The Ct threshold of 40 corresponds to approximately 10</w:t>
      </w:r>
      <w:r w:rsidR="002D77C8" w:rsidRPr="00CC3D4C">
        <w:rPr>
          <w:rFonts w:eastAsia="Calibri" w:cs="Arial"/>
          <w:color w:val="000000"/>
          <w:vertAlign w:val="superscript"/>
        </w:rPr>
        <w:t>3</w:t>
      </w:r>
      <w:r w:rsidR="002D77C8" w:rsidRPr="002D77C8">
        <w:rPr>
          <w:rFonts w:eastAsia="Calibri" w:cs="Arial"/>
          <w:color w:val="000000"/>
        </w:rPr>
        <w:t xml:space="preserve"> cells/ml.</w:t>
      </w:r>
      <w:r w:rsidR="00CC3D4C">
        <w:rPr>
          <w:rFonts w:eastAsia="Calibri" w:cs="Arial"/>
          <w:color w:val="000000"/>
        </w:rPr>
        <w:t xml:space="preserve"> The Limit of Quantification (LOQ) for the </w:t>
      </w:r>
      <w:r w:rsidR="00CC3D4C" w:rsidRPr="00CC3D4C">
        <w:rPr>
          <w:rFonts w:eastAsia="Calibri" w:cs="Arial"/>
          <w:i/>
          <w:iCs/>
          <w:color w:val="000000"/>
        </w:rPr>
        <w:t>R. salmoninarum</w:t>
      </w:r>
      <w:r w:rsidR="00CC3D4C">
        <w:rPr>
          <w:rFonts w:eastAsia="Calibri" w:cs="Arial"/>
          <w:color w:val="000000"/>
        </w:rPr>
        <w:t xml:space="preserve"> assay was 100 cells/reaction, corresponding to a Ct value of approximately 25.9. This qPCR was performed in accordance with Chase et al. (2006) that targets the Major Soluble Antigen (</w:t>
      </w:r>
      <w:proofErr w:type="spellStart"/>
      <w:r w:rsidR="00CC3D4C" w:rsidRPr="00CC3D4C">
        <w:rPr>
          <w:rFonts w:eastAsia="Calibri" w:cs="Arial"/>
          <w:i/>
          <w:iCs/>
          <w:color w:val="000000"/>
        </w:rPr>
        <w:t>msa</w:t>
      </w:r>
      <w:proofErr w:type="spellEnd"/>
      <w:r w:rsidR="00CC3D4C">
        <w:rPr>
          <w:rFonts w:eastAsia="Calibri" w:cs="Arial"/>
          <w:color w:val="000000"/>
        </w:rPr>
        <w:t>)</w:t>
      </w:r>
      <w:r w:rsidR="002D77C8" w:rsidRPr="002D77C8">
        <w:rPr>
          <w:rFonts w:eastAsia="Calibri" w:cs="Arial"/>
          <w:color w:val="000000"/>
        </w:rPr>
        <w:t xml:space="preserve"> </w:t>
      </w:r>
      <w:r w:rsidR="00CC3D4C">
        <w:rPr>
          <w:rFonts w:eastAsia="Calibri" w:cs="Arial"/>
          <w:color w:val="000000"/>
        </w:rPr>
        <w:t>gene where most isolates possess two copies, but some have been shown to have three copies. For the other qPCRs involving the remaining pathogens, a</w:t>
      </w:r>
      <w:r w:rsidR="002D77C8" w:rsidRPr="00CC14E4">
        <w:rPr>
          <w:rFonts w:eastAsia="Calibri" w:cs="Arial"/>
          <w:color w:val="000000"/>
        </w:rPr>
        <w:t xml:space="preserve"> synthetically produced gene fragment, </w:t>
      </w:r>
      <w:proofErr w:type="spellStart"/>
      <w:r w:rsidR="002D77C8" w:rsidRPr="00CC14E4">
        <w:rPr>
          <w:rFonts w:eastAsia="Calibri" w:cs="Arial"/>
          <w:color w:val="000000"/>
        </w:rPr>
        <w:t>gBlock</w:t>
      </w:r>
      <w:proofErr w:type="spellEnd"/>
      <w:r w:rsidR="002D77C8" w:rsidRPr="00CC14E4">
        <w:rPr>
          <w:rFonts w:eastAsia="Calibri" w:cs="Arial"/>
          <w:color w:val="000000"/>
        </w:rPr>
        <w:t xml:space="preserve"> (Integrated DNA Technologies), was used for the standard curve. The LOQ for the </w:t>
      </w:r>
      <w:r w:rsidR="002D77C8" w:rsidRPr="00CC14E4">
        <w:rPr>
          <w:rFonts w:eastAsia="Calibri" w:cs="Arial"/>
          <w:i/>
          <w:iCs/>
          <w:color w:val="000000"/>
        </w:rPr>
        <w:t xml:space="preserve">F. psychrophilum </w:t>
      </w:r>
      <w:r w:rsidR="002D77C8" w:rsidRPr="009F1708">
        <w:rPr>
          <w:rFonts w:eastAsia="Calibri" w:cs="Arial"/>
          <w:color w:val="000000"/>
        </w:rPr>
        <w:t xml:space="preserve">assay was </w:t>
      </w:r>
      <w:r w:rsidR="002D77C8">
        <w:rPr>
          <w:rFonts w:eastAsia="Calibri" w:cs="Arial"/>
          <w:color w:val="000000"/>
        </w:rPr>
        <w:t>10</w:t>
      </w:r>
      <w:r w:rsidR="002D77C8" w:rsidRPr="009F1708">
        <w:rPr>
          <w:rFonts w:eastAsia="Calibri" w:cs="Arial"/>
          <w:color w:val="000000"/>
        </w:rPr>
        <w:t xml:space="preserve"> gene copies per reaction, corresponding to a C</w:t>
      </w:r>
      <w:r w:rsidR="002D77C8" w:rsidRPr="009F1708">
        <w:rPr>
          <w:rFonts w:eastAsia="Calibri" w:cs="Arial"/>
          <w:color w:val="000000"/>
          <w:vertAlign w:val="subscript"/>
        </w:rPr>
        <w:t>T</w:t>
      </w:r>
      <w:r w:rsidR="002D77C8" w:rsidRPr="009F1708">
        <w:rPr>
          <w:rFonts w:eastAsia="Calibri" w:cs="Arial"/>
          <w:color w:val="000000"/>
        </w:rPr>
        <w:t xml:space="preserve"> value of approximately</w:t>
      </w:r>
      <w:r w:rsidR="002D77C8">
        <w:rPr>
          <w:rFonts w:eastAsia="Calibri" w:cs="Arial"/>
          <w:color w:val="000000"/>
        </w:rPr>
        <w:t xml:space="preserve"> 32.6</w:t>
      </w:r>
      <w:r w:rsidR="002D77C8" w:rsidRPr="009F1708">
        <w:rPr>
          <w:rFonts w:eastAsia="Calibri" w:cs="Arial"/>
          <w:color w:val="000000"/>
        </w:rPr>
        <w:t xml:space="preserve"> and equates to approximately </w:t>
      </w:r>
      <w:r w:rsidR="002D77C8">
        <w:rPr>
          <w:rFonts w:eastAsia="Calibri" w:cs="Arial"/>
          <w:color w:val="000000"/>
        </w:rPr>
        <w:t>10</w:t>
      </w:r>
      <w:r w:rsidR="002D77C8" w:rsidRPr="00CC14E4">
        <w:rPr>
          <w:rFonts w:eastAsia="Calibri" w:cs="Arial"/>
          <w:color w:val="000000"/>
        </w:rPr>
        <w:t xml:space="preserve"> bacteria. This qPCR targets a single-copy gene for a hypothetical protein with unknown function and was performed in accordance with </w:t>
      </w:r>
      <w:proofErr w:type="spellStart"/>
      <w:r w:rsidR="002D77C8" w:rsidRPr="00CC14E4">
        <w:rPr>
          <w:rFonts w:eastAsia="Calibri" w:cs="Arial"/>
          <w:color w:val="000000"/>
        </w:rPr>
        <w:t>Marancik</w:t>
      </w:r>
      <w:proofErr w:type="spellEnd"/>
      <w:r w:rsidR="002D77C8" w:rsidRPr="00CC14E4">
        <w:rPr>
          <w:rFonts w:eastAsia="Calibri" w:cs="Arial"/>
          <w:color w:val="000000"/>
        </w:rPr>
        <w:t xml:space="preserve"> &amp; Wiens (2013). The LOQ for the </w:t>
      </w:r>
      <w:r w:rsidR="009F033B" w:rsidRPr="009F033B">
        <w:rPr>
          <w:rFonts w:eastAsia="Calibri" w:cs="Arial"/>
          <w:i/>
          <w:iCs/>
          <w:color w:val="000000"/>
        </w:rPr>
        <w:t>T. bryosalmonae</w:t>
      </w:r>
      <w:r w:rsidR="009F033B">
        <w:rPr>
          <w:rFonts w:eastAsia="Calibri" w:cs="Arial"/>
          <w:color w:val="000000"/>
        </w:rPr>
        <w:t xml:space="preserve"> </w:t>
      </w:r>
      <w:r w:rsidR="002D77C8" w:rsidRPr="00CC14E4">
        <w:rPr>
          <w:rFonts w:eastAsia="Calibri" w:cs="Arial"/>
          <w:color w:val="000000"/>
        </w:rPr>
        <w:t xml:space="preserve">assay was </w:t>
      </w:r>
      <w:r w:rsidR="002D77C8">
        <w:rPr>
          <w:rFonts w:eastAsia="Calibri" w:cs="Arial"/>
          <w:color w:val="000000"/>
        </w:rPr>
        <w:t>10</w:t>
      </w:r>
      <w:r w:rsidR="002D77C8" w:rsidRPr="00CC14E4">
        <w:rPr>
          <w:rFonts w:eastAsia="Calibri" w:cs="Arial"/>
          <w:color w:val="000000"/>
        </w:rPr>
        <w:t xml:space="preserve"> gene copies per reaction, corresponding to a C</w:t>
      </w:r>
      <w:r w:rsidR="002D77C8" w:rsidRPr="00CC14E4">
        <w:rPr>
          <w:rFonts w:eastAsia="Calibri" w:cs="Arial"/>
          <w:color w:val="000000"/>
          <w:vertAlign w:val="subscript"/>
        </w:rPr>
        <w:t>T</w:t>
      </w:r>
      <w:r w:rsidR="002D77C8" w:rsidRPr="00CC14E4">
        <w:rPr>
          <w:rFonts w:eastAsia="Calibri" w:cs="Arial"/>
          <w:color w:val="000000"/>
        </w:rPr>
        <w:t xml:space="preserve"> value of </w:t>
      </w:r>
      <w:r w:rsidR="002D77C8">
        <w:rPr>
          <w:rFonts w:eastAsia="Calibri" w:cs="Arial"/>
          <w:color w:val="000000"/>
        </w:rPr>
        <w:t>32.7</w:t>
      </w:r>
      <w:r w:rsidR="002D77C8" w:rsidRPr="00CC14E4">
        <w:rPr>
          <w:rFonts w:eastAsia="Calibri" w:cs="Arial"/>
          <w:color w:val="000000"/>
        </w:rPr>
        <w:t>. This qPCR targets the 18S rDNA multi-copy gene and was performed in accordance with Bettge et al. (2009).</w:t>
      </w:r>
      <w:r w:rsidR="002D77C8">
        <w:rPr>
          <w:rFonts w:eastAsia="Calibri" w:cs="Arial"/>
          <w:color w:val="000000"/>
        </w:rPr>
        <w:t xml:space="preserve"> Samples were diluted 1:30 and tested for</w:t>
      </w:r>
      <w:r w:rsidR="002D77C8" w:rsidRPr="001E1C44">
        <w:rPr>
          <w:rFonts w:cs="Arial"/>
          <w:i/>
          <w:iCs/>
        </w:rPr>
        <w:t xml:space="preserve"> </w:t>
      </w:r>
      <w:r w:rsidR="002D77C8">
        <w:rPr>
          <w:rFonts w:cs="Arial"/>
          <w:i/>
          <w:iCs/>
        </w:rPr>
        <w:t>I</w:t>
      </w:r>
      <w:r w:rsidR="002D77C8" w:rsidRPr="001E1C44">
        <w:rPr>
          <w:rFonts w:cs="Arial"/>
          <w:i/>
          <w:iCs/>
        </w:rPr>
        <w:t>chthyophonus</w:t>
      </w:r>
      <w:r w:rsidR="002D77C8">
        <w:rPr>
          <w:rFonts w:cs="Arial"/>
          <w:i/>
          <w:iCs/>
        </w:rPr>
        <w:t xml:space="preserve"> </w:t>
      </w:r>
      <w:r w:rsidR="002D77C8">
        <w:rPr>
          <w:rFonts w:cs="Arial"/>
        </w:rPr>
        <w:t xml:space="preserve">in accordance with </w:t>
      </w:r>
      <w:r w:rsidR="002D77C8" w:rsidRPr="00B77A69">
        <w:rPr>
          <w:rFonts w:cs="Arial"/>
        </w:rPr>
        <w:t>White et al. (2013)</w:t>
      </w:r>
      <w:r w:rsidR="002D77C8">
        <w:rPr>
          <w:rFonts w:cs="Arial"/>
        </w:rPr>
        <w:t xml:space="preserve">, which targets the18S rDNA gene. </w:t>
      </w:r>
      <w:r w:rsidR="002D77C8" w:rsidRPr="002D77C8">
        <w:rPr>
          <w:rFonts w:cs="Arial"/>
          <w:i/>
          <w:iCs/>
        </w:rPr>
        <w:t>Ichthyophonus</w:t>
      </w:r>
      <w:r w:rsidR="002D77C8">
        <w:rPr>
          <w:rFonts w:cs="Arial"/>
        </w:rPr>
        <w:t xml:space="preserve"> is multinucleated making it difficult to determine the number of organisms and therefore is reported as copies/mg of tissue. Males and females were tested separately and had an LOQ of 10 copies with </w:t>
      </w:r>
      <w:r w:rsidR="002D77C8" w:rsidRPr="00CC14E4">
        <w:rPr>
          <w:rFonts w:eastAsia="Calibri" w:cs="Arial"/>
          <w:color w:val="000000"/>
        </w:rPr>
        <w:t>C</w:t>
      </w:r>
      <w:r w:rsidR="002D77C8" w:rsidRPr="00CC14E4">
        <w:rPr>
          <w:rFonts w:eastAsia="Calibri" w:cs="Arial"/>
          <w:color w:val="000000"/>
          <w:vertAlign w:val="subscript"/>
        </w:rPr>
        <w:t>T</w:t>
      </w:r>
      <w:r w:rsidR="002D77C8">
        <w:rPr>
          <w:rFonts w:cs="Arial"/>
        </w:rPr>
        <w:t xml:space="preserve"> </w:t>
      </w:r>
      <w:r w:rsidR="002D77C8" w:rsidRPr="00CC14E4">
        <w:rPr>
          <w:rFonts w:eastAsia="Calibri" w:cs="Arial"/>
          <w:color w:val="000000"/>
        </w:rPr>
        <w:t>value</w:t>
      </w:r>
      <w:r w:rsidR="002D77C8">
        <w:rPr>
          <w:rFonts w:eastAsia="Calibri" w:cs="Arial"/>
          <w:color w:val="000000"/>
        </w:rPr>
        <w:t xml:space="preserve">s of 32.7 and 36.2 respectively. </w:t>
      </w:r>
    </w:p>
    <w:p w14:paraId="6F7A1535" w14:textId="77777777" w:rsidR="00CC3D4C" w:rsidRDefault="00CC3D4C" w:rsidP="005B755B">
      <w:pPr>
        <w:rPr>
          <w:rFonts w:eastAsia="Calibri" w:cs="Arial"/>
          <w:color w:val="000000"/>
        </w:rPr>
      </w:pPr>
    </w:p>
    <w:p w14:paraId="5C230542" w14:textId="6732580E" w:rsidR="004358C3" w:rsidRPr="004358C3" w:rsidRDefault="005B755B" w:rsidP="005B755B">
      <w:pPr>
        <w:rPr>
          <w:rFonts w:cs="Arial"/>
        </w:rPr>
      </w:pPr>
      <w:r w:rsidRPr="005B755B">
        <w:rPr>
          <w:rFonts w:cs="Arial"/>
          <w:b/>
          <w:bCs/>
        </w:rPr>
        <w:t>Prevalence</w:t>
      </w:r>
      <w:r>
        <w:rPr>
          <w:rFonts w:cs="Arial"/>
          <w:b/>
          <w:bCs/>
        </w:rPr>
        <w:t>:</w:t>
      </w:r>
      <w:r>
        <w:rPr>
          <w:rFonts w:cs="Arial"/>
          <w:b/>
          <w:bCs/>
        </w:rPr>
        <w:tab/>
      </w:r>
      <w:r>
        <w:rPr>
          <w:rFonts w:cs="Arial"/>
          <w:b/>
          <w:bCs/>
        </w:rPr>
        <w:tab/>
      </w:r>
      <w:r w:rsidR="004358C3">
        <w:rPr>
          <w:rFonts w:cs="Arial"/>
        </w:rPr>
        <w:t>0/4</w:t>
      </w:r>
      <w:r w:rsidR="004358C3">
        <w:rPr>
          <w:rFonts w:cs="Arial"/>
        </w:rPr>
        <w:tab/>
        <w:t xml:space="preserve"> tested positive for </w:t>
      </w:r>
      <w:proofErr w:type="spellStart"/>
      <w:r w:rsidR="004358C3" w:rsidRPr="004358C3">
        <w:rPr>
          <w:rFonts w:cs="Arial"/>
          <w:i/>
          <w:iCs/>
        </w:rPr>
        <w:t>Renibacterium</w:t>
      </w:r>
      <w:proofErr w:type="spellEnd"/>
      <w:r w:rsidR="004358C3" w:rsidRPr="004358C3">
        <w:rPr>
          <w:rFonts w:cs="Arial"/>
          <w:i/>
          <w:iCs/>
        </w:rPr>
        <w:t xml:space="preserve"> </w:t>
      </w:r>
      <w:proofErr w:type="spellStart"/>
      <w:r w:rsidR="004358C3" w:rsidRPr="004358C3">
        <w:rPr>
          <w:rFonts w:cs="Arial"/>
          <w:i/>
          <w:iCs/>
        </w:rPr>
        <w:t>salmoninarum</w:t>
      </w:r>
      <w:proofErr w:type="spellEnd"/>
    </w:p>
    <w:p w14:paraId="2E545193" w14:textId="464B91BE" w:rsidR="005B755B" w:rsidRPr="005B755B" w:rsidRDefault="005B755B" w:rsidP="004358C3">
      <w:pPr>
        <w:ind w:left="1152" w:firstLine="144"/>
        <w:rPr>
          <w:rFonts w:cs="Arial"/>
          <w:b/>
          <w:bCs/>
        </w:rPr>
      </w:pPr>
      <w:r>
        <w:rPr>
          <w:rFonts w:cs="Arial"/>
        </w:rPr>
        <w:t xml:space="preserve">1/4 tested positive for </w:t>
      </w:r>
      <w:r w:rsidRPr="00CA663B">
        <w:rPr>
          <w:rFonts w:cs="Arial"/>
          <w:i/>
          <w:iCs/>
        </w:rPr>
        <w:t>Flavobacterium psychrophilum</w:t>
      </w:r>
      <w:r>
        <w:rPr>
          <w:rFonts w:cs="Arial"/>
          <w:i/>
          <w:iCs/>
        </w:rPr>
        <w:t xml:space="preserve"> </w:t>
      </w:r>
      <w:r>
        <w:rPr>
          <w:rFonts w:cs="Arial"/>
        </w:rPr>
        <w:t>(25%)</w:t>
      </w:r>
    </w:p>
    <w:p w14:paraId="73CA42C6" w14:textId="53E61D97" w:rsidR="005B755B" w:rsidRDefault="005B755B" w:rsidP="005B755B">
      <w:pPr>
        <w:ind w:left="576" w:firstLine="720"/>
        <w:rPr>
          <w:rFonts w:cs="Arial"/>
        </w:rPr>
      </w:pPr>
      <w:r>
        <w:rPr>
          <w:rFonts w:cs="Arial"/>
        </w:rPr>
        <w:t xml:space="preserve">0/4 tested positive for </w:t>
      </w:r>
      <w:r w:rsidRPr="00CA663B">
        <w:rPr>
          <w:rFonts w:cs="Arial"/>
          <w:i/>
          <w:iCs/>
        </w:rPr>
        <w:t>Te</w:t>
      </w:r>
      <w:r>
        <w:rPr>
          <w:rFonts w:cs="Arial"/>
          <w:i/>
          <w:iCs/>
        </w:rPr>
        <w:t>t</w:t>
      </w:r>
      <w:r w:rsidRPr="00CA663B">
        <w:rPr>
          <w:rFonts w:cs="Arial"/>
          <w:i/>
          <w:iCs/>
        </w:rPr>
        <w:t>racapsuloides bryosalmonae</w:t>
      </w:r>
      <w:r w:rsidRPr="00317F59">
        <w:rPr>
          <w:rFonts w:cs="Arial"/>
        </w:rPr>
        <w:t xml:space="preserve"> </w:t>
      </w:r>
    </w:p>
    <w:p w14:paraId="3170A5FC" w14:textId="1F29B38B" w:rsidR="005B755B" w:rsidRPr="005B755B" w:rsidRDefault="005B755B" w:rsidP="005B755B">
      <w:pPr>
        <w:ind w:left="576" w:firstLine="720"/>
        <w:rPr>
          <w:rFonts w:cs="Arial"/>
        </w:rPr>
      </w:pPr>
      <w:r>
        <w:rPr>
          <w:rFonts w:cs="Arial"/>
        </w:rPr>
        <w:t xml:space="preserve">3/4 tested positive for </w:t>
      </w:r>
      <w:proofErr w:type="spellStart"/>
      <w:r>
        <w:rPr>
          <w:rFonts w:cs="Arial"/>
          <w:i/>
          <w:iCs/>
        </w:rPr>
        <w:t>I</w:t>
      </w:r>
      <w:r w:rsidRPr="001E1C44">
        <w:rPr>
          <w:rFonts w:cs="Arial"/>
          <w:i/>
          <w:iCs/>
        </w:rPr>
        <w:t>chthyophonus</w:t>
      </w:r>
      <w:proofErr w:type="spellEnd"/>
      <w:r>
        <w:rPr>
          <w:rFonts w:cs="Arial"/>
          <w:i/>
          <w:iCs/>
        </w:rPr>
        <w:t xml:space="preserve"> </w:t>
      </w:r>
      <w:r>
        <w:rPr>
          <w:rFonts w:cs="Arial"/>
        </w:rPr>
        <w:t>(75%)</w:t>
      </w:r>
    </w:p>
    <w:p w14:paraId="592ECF3E" w14:textId="77777777" w:rsidR="005B755B" w:rsidRDefault="005B755B" w:rsidP="000659A7">
      <w:pPr>
        <w:rPr>
          <w:rFonts w:eastAsia="Calibri" w:cs="Arial"/>
          <w:color w:val="000000"/>
        </w:rPr>
      </w:pPr>
    </w:p>
    <w:p w14:paraId="745D1A15" w14:textId="7638AB55" w:rsidR="00327828" w:rsidRPr="00011EB6" w:rsidRDefault="00327828" w:rsidP="009F033B">
      <w:pPr>
        <w:pStyle w:val="Caption"/>
        <w:keepNext/>
        <w:spacing w:after="60"/>
        <w:rPr>
          <w:i w:val="0"/>
          <w:iCs w:val="0"/>
          <w:color w:val="auto"/>
        </w:rPr>
      </w:pPr>
      <w:r w:rsidRPr="00011EB6">
        <w:rPr>
          <w:b/>
          <w:bCs/>
          <w:i w:val="0"/>
          <w:iCs w:val="0"/>
          <w:color w:val="auto"/>
        </w:rPr>
        <w:t xml:space="preserve">Table </w:t>
      </w:r>
      <w:r w:rsidRPr="00011EB6">
        <w:rPr>
          <w:b/>
          <w:bCs/>
          <w:i w:val="0"/>
          <w:iCs w:val="0"/>
          <w:color w:val="auto"/>
        </w:rPr>
        <w:fldChar w:fldCharType="begin"/>
      </w:r>
      <w:r w:rsidRPr="00011EB6">
        <w:rPr>
          <w:b/>
          <w:bCs/>
          <w:i w:val="0"/>
          <w:iCs w:val="0"/>
          <w:color w:val="auto"/>
        </w:rPr>
        <w:instrText xml:space="preserve"> SEQ Table \* ARABIC </w:instrText>
      </w:r>
      <w:r w:rsidRPr="00011EB6">
        <w:rPr>
          <w:b/>
          <w:bCs/>
          <w:i w:val="0"/>
          <w:iCs w:val="0"/>
          <w:color w:val="auto"/>
        </w:rPr>
        <w:fldChar w:fldCharType="separate"/>
      </w:r>
      <w:r w:rsidRPr="00011EB6">
        <w:rPr>
          <w:b/>
          <w:bCs/>
          <w:i w:val="0"/>
          <w:iCs w:val="0"/>
          <w:noProof/>
          <w:color w:val="auto"/>
        </w:rPr>
        <w:t>1</w:t>
      </w:r>
      <w:r w:rsidRPr="00011EB6">
        <w:rPr>
          <w:b/>
          <w:bCs/>
          <w:i w:val="0"/>
          <w:iCs w:val="0"/>
          <w:color w:val="auto"/>
        </w:rPr>
        <w:fldChar w:fldCharType="end"/>
      </w:r>
      <w:r w:rsidRPr="00011EB6">
        <w:rPr>
          <w:b/>
          <w:bCs/>
          <w:i w:val="0"/>
          <w:iCs w:val="0"/>
          <w:color w:val="auto"/>
        </w:rPr>
        <w:t>.</w:t>
      </w:r>
      <w:r w:rsidRPr="00011EB6">
        <w:rPr>
          <w:i w:val="0"/>
          <w:iCs w:val="0"/>
          <w:color w:val="auto"/>
        </w:rPr>
        <w:t xml:space="preserve"> qPCR results for fish in present case screened for the presence of </w:t>
      </w:r>
      <w:r w:rsidRPr="00011EB6">
        <w:rPr>
          <w:color w:val="auto"/>
        </w:rPr>
        <w:t>R.</w:t>
      </w:r>
      <w:r w:rsidR="00011EB6" w:rsidRPr="00011EB6">
        <w:rPr>
          <w:color w:val="auto"/>
        </w:rPr>
        <w:t xml:space="preserve"> salmoninarum</w:t>
      </w:r>
      <w:r w:rsidR="00011EB6" w:rsidRPr="00011EB6">
        <w:rPr>
          <w:i w:val="0"/>
          <w:iCs w:val="0"/>
          <w:color w:val="auto"/>
        </w:rPr>
        <w:t xml:space="preserve">, </w:t>
      </w:r>
      <w:r w:rsidR="00011EB6" w:rsidRPr="00011EB6">
        <w:rPr>
          <w:color w:val="auto"/>
        </w:rPr>
        <w:t>F. psychrophilum</w:t>
      </w:r>
      <w:r w:rsidR="00011EB6" w:rsidRPr="00011EB6">
        <w:rPr>
          <w:i w:val="0"/>
          <w:iCs w:val="0"/>
          <w:color w:val="auto"/>
        </w:rPr>
        <w:t xml:space="preserve">, </w:t>
      </w:r>
      <w:r w:rsidR="00011EB6" w:rsidRPr="00011EB6">
        <w:rPr>
          <w:color w:val="auto"/>
        </w:rPr>
        <w:t>T. bryosalmonae</w:t>
      </w:r>
      <w:r w:rsidR="00011EB6" w:rsidRPr="00011EB6">
        <w:rPr>
          <w:i w:val="0"/>
          <w:iCs w:val="0"/>
          <w:color w:val="auto"/>
        </w:rPr>
        <w:t xml:space="preserve"> and </w:t>
      </w:r>
      <w:r w:rsidR="00011EB6" w:rsidRPr="00011EB6">
        <w:rPr>
          <w:color w:val="auto"/>
        </w:rPr>
        <w:t>Ichthyophonus</w:t>
      </w:r>
      <w:r w:rsidR="00011EB6" w:rsidRPr="00011EB6">
        <w:rPr>
          <w:i w:val="0"/>
          <w:iCs w:val="0"/>
          <w:color w:val="auto"/>
        </w:rPr>
        <w:t xml:space="preserve">. </w:t>
      </w:r>
    </w:p>
    <w:tbl>
      <w:tblPr>
        <w:tblW w:w="83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75"/>
        <w:gridCol w:w="1890"/>
        <w:gridCol w:w="1890"/>
        <w:gridCol w:w="1890"/>
        <w:gridCol w:w="1650"/>
      </w:tblGrid>
      <w:tr w:rsidR="00327828" w:rsidRPr="006E00DC" w14:paraId="30AA0872" w14:textId="77777777" w:rsidTr="00327828">
        <w:trPr>
          <w:trHeight w:val="300"/>
          <w:jc w:val="center"/>
        </w:trPr>
        <w:tc>
          <w:tcPr>
            <w:tcW w:w="1075" w:type="dxa"/>
            <w:shd w:val="clear" w:color="auto" w:fill="auto"/>
            <w:noWrap/>
            <w:vAlign w:val="bottom"/>
            <w:hideMark/>
          </w:tcPr>
          <w:p w14:paraId="7F2702BB" w14:textId="77777777" w:rsidR="00327828" w:rsidRPr="005B755B" w:rsidRDefault="00327828" w:rsidP="009606D4">
            <w:pPr>
              <w:rPr>
                <w:rFonts w:cs="Arial"/>
                <w:color w:val="000000"/>
              </w:rPr>
            </w:pPr>
            <w:r w:rsidRPr="005B755B">
              <w:rPr>
                <w:rFonts w:cs="Arial"/>
                <w:color w:val="000000"/>
              </w:rPr>
              <w:t> </w:t>
            </w:r>
          </w:p>
        </w:tc>
        <w:tc>
          <w:tcPr>
            <w:tcW w:w="7320" w:type="dxa"/>
            <w:gridSpan w:val="4"/>
          </w:tcPr>
          <w:p w14:paraId="16A0C4C9" w14:textId="230999CE" w:rsidR="00327828" w:rsidRPr="005B755B" w:rsidRDefault="00327828" w:rsidP="009606D4">
            <w:pPr>
              <w:jc w:val="center"/>
              <w:rPr>
                <w:rFonts w:cs="Arial"/>
                <w:color w:val="000000"/>
              </w:rPr>
            </w:pPr>
            <w:r w:rsidRPr="005B755B">
              <w:rPr>
                <w:rFonts w:cs="Arial"/>
                <w:color w:val="000000"/>
              </w:rPr>
              <w:t>(</w:t>
            </w:r>
            <w:r w:rsidRPr="005B755B">
              <w:rPr>
                <w:rFonts w:cs="Arial"/>
                <w:b/>
                <w:bCs/>
                <w:color w:val="000000"/>
              </w:rPr>
              <w:t>Gene copies/mg tissue)</w:t>
            </w:r>
          </w:p>
        </w:tc>
      </w:tr>
      <w:tr w:rsidR="00327828" w:rsidRPr="006E00DC" w14:paraId="4B3E0825" w14:textId="77777777" w:rsidTr="00327828">
        <w:trPr>
          <w:trHeight w:val="300"/>
          <w:jc w:val="center"/>
        </w:trPr>
        <w:tc>
          <w:tcPr>
            <w:tcW w:w="1075" w:type="dxa"/>
            <w:shd w:val="clear" w:color="auto" w:fill="auto"/>
            <w:noWrap/>
            <w:vAlign w:val="center"/>
            <w:hideMark/>
          </w:tcPr>
          <w:p w14:paraId="0612C473" w14:textId="77777777" w:rsidR="00327828" w:rsidRPr="005B755B" w:rsidRDefault="00327828" w:rsidP="005B755B">
            <w:pPr>
              <w:jc w:val="center"/>
              <w:rPr>
                <w:rFonts w:cs="Arial"/>
                <w:b/>
                <w:bCs/>
                <w:color w:val="000000"/>
              </w:rPr>
            </w:pPr>
            <w:r w:rsidRPr="005B755B">
              <w:rPr>
                <w:rFonts w:cs="Arial"/>
                <w:b/>
                <w:bCs/>
                <w:color w:val="000000"/>
              </w:rPr>
              <w:t>Fish #</w:t>
            </w:r>
          </w:p>
        </w:tc>
        <w:tc>
          <w:tcPr>
            <w:tcW w:w="1890" w:type="dxa"/>
            <w:vAlign w:val="center"/>
          </w:tcPr>
          <w:p w14:paraId="1C51D0C9" w14:textId="199DCC1C" w:rsidR="00327828" w:rsidRPr="00327828" w:rsidRDefault="00327828" w:rsidP="005B755B">
            <w:pPr>
              <w:jc w:val="center"/>
              <w:rPr>
                <w:rFonts w:cs="Arial"/>
                <w:b/>
                <w:bCs/>
                <w:i/>
                <w:iCs/>
                <w:color w:val="000000"/>
              </w:rPr>
            </w:pPr>
            <w:r w:rsidRPr="00327828">
              <w:rPr>
                <w:rFonts w:cs="Arial"/>
                <w:b/>
                <w:bCs/>
                <w:i/>
                <w:iCs/>
                <w:color w:val="000000"/>
              </w:rPr>
              <w:t>R. salmoninarum</w:t>
            </w:r>
          </w:p>
        </w:tc>
        <w:tc>
          <w:tcPr>
            <w:tcW w:w="1890" w:type="dxa"/>
            <w:shd w:val="clear" w:color="auto" w:fill="auto"/>
            <w:vAlign w:val="center"/>
            <w:hideMark/>
          </w:tcPr>
          <w:p w14:paraId="19072AC0" w14:textId="2D2E91F5" w:rsidR="00327828" w:rsidRPr="00327828" w:rsidRDefault="00327828" w:rsidP="005B755B">
            <w:pPr>
              <w:jc w:val="center"/>
              <w:rPr>
                <w:rFonts w:cs="Arial"/>
                <w:b/>
                <w:bCs/>
                <w:i/>
                <w:iCs/>
                <w:color w:val="000000"/>
              </w:rPr>
            </w:pPr>
            <w:r w:rsidRPr="00327828">
              <w:rPr>
                <w:rFonts w:cs="Arial"/>
                <w:b/>
                <w:bCs/>
                <w:i/>
                <w:iCs/>
                <w:color w:val="000000"/>
              </w:rPr>
              <w:t xml:space="preserve">F. psychrophilum </w:t>
            </w:r>
          </w:p>
        </w:tc>
        <w:tc>
          <w:tcPr>
            <w:tcW w:w="1890" w:type="dxa"/>
            <w:shd w:val="clear" w:color="auto" w:fill="auto"/>
            <w:vAlign w:val="center"/>
            <w:hideMark/>
          </w:tcPr>
          <w:p w14:paraId="42FFB95A" w14:textId="572CB290" w:rsidR="00327828" w:rsidRPr="00327828" w:rsidRDefault="00327828" w:rsidP="005B755B">
            <w:pPr>
              <w:jc w:val="center"/>
              <w:rPr>
                <w:rFonts w:cs="Arial"/>
                <w:b/>
                <w:bCs/>
                <w:i/>
                <w:iCs/>
                <w:color w:val="000000"/>
              </w:rPr>
            </w:pPr>
            <w:r w:rsidRPr="00327828">
              <w:rPr>
                <w:rFonts w:cs="Arial"/>
                <w:b/>
                <w:bCs/>
                <w:i/>
                <w:iCs/>
                <w:color w:val="000000"/>
              </w:rPr>
              <w:t xml:space="preserve">T. bryosalmonae </w:t>
            </w:r>
          </w:p>
        </w:tc>
        <w:tc>
          <w:tcPr>
            <w:tcW w:w="1650" w:type="dxa"/>
            <w:vAlign w:val="center"/>
          </w:tcPr>
          <w:p w14:paraId="677694F9" w14:textId="61608C23" w:rsidR="00327828" w:rsidRPr="00327828" w:rsidRDefault="00327828" w:rsidP="005B755B">
            <w:pPr>
              <w:jc w:val="center"/>
              <w:rPr>
                <w:rFonts w:cs="Arial"/>
                <w:b/>
                <w:bCs/>
                <w:i/>
                <w:iCs/>
                <w:color w:val="000000"/>
              </w:rPr>
            </w:pPr>
            <w:r w:rsidRPr="00327828">
              <w:rPr>
                <w:rFonts w:cs="Arial"/>
                <w:b/>
                <w:bCs/>
                <w:i/>
                <w:iCs/>
                <w:color w:val="000000"/>
              </w:rPr>
              <w:t>Ichthyophonus</w:t>
            </w:r>
          </w:p>
        </w:tc>
      </w:tr>
      <w:tr w:rsidR="00327828" w:rsidRPr="006E00DC" w14:paraId="56298C16" w14:textId="77777777" w:rsidTr="00327828">
        <w:trPr>
          <w:trHeight w:val="300"/>
          <w:jc w:val="center"/>
        </w:trPr>
        <w:tc>
          <w:tcPr>
            <w:tcW w:w="1075" w:type="dxa"/>
            <w:shd w:val="clear" w:color="auto" w:fill="auto"/>
            <w:noWrap/>
            <w:vAlign w:val="bottom"/>
            <w:hideMark/>
          </w:tcPr>
          <w:p w14:paraId="25CB5EAA" w14:textId="79E7A3EB" w:rsidR="00327828" w:rsidRPr="005B755B" w:rsidRDefault="00327828" w:rsidP="009606D4">
            <w:pPr>
              <w:rPr>
                <w:rFonts w:cs="Arial"/>
                <w:color w:val="000000"/>
              </w:rPr>
            </w:pPr>
            <w:r w:rsidRPr="005B755B">
              <w:rPr>
                <w:rFonts w:cs="Arial"/>
                <w:color w:val="000000"/>
              </w:rPr>
              <w:t>F</w:t>
            </w:r>
            <w:r>
              <w:rPr>
                <w:rFonts w:cs="Arial"/>
                <w:color w:val="000000"/>
              </w:rPr>
              <w:t>emale</w:t>
            </w:r>
            <w:r w:rsidRPr="005B755B">
              <w:rPr>
                <w:rFonts w:cs="Arial"/>
                <w:color w:val="000000"/>
              </w:rPr>
              <w:t xml:space="preserve"> 1</w:t>
            </w:r>
          </w:p>
        </w:tc>
        <w:tc>
          <w:tcPr>
            <w:tcW w:w="1890" w:type="dxa"/>
            <w:vAlign w:val="center"/>
          </w:tcPr>
          <w:p w14:paraId="28F104F0" w14:textId="33A7D7A1" w:rsidR="00327828" w:rsidRPr="005B755B" w:rsidRDefault="00327828" w:rsidP="005B755B">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05FB76D4" w14:textId="09C36B1E" w:rsidR="00327828" w:rsidRPr="005B755B" w:rsidRDefault="00327828" w:rsidP="005B755B">
            <w:pPr>
              <w:jc w:val="center"/>
              <w:rPr>
                <w:rFonts w:cs="Arial"/>
                <w:color w:val="000000"/>
              </w:rPr>
            </w:pPr>
            <w:r w:rsidRPr="005B755B">
              <w:rPr>
                <w:rFonts w:cs="Arial"/>
                <w:color w:val="000000"/>
              </w:rPr>
              <w:t>35</w:t>
            </w:r>
          </w:p>
        </w:tc>
        <w:tc>
          <w:tcPr>
            <w:tcW w:w="1890" w:type="dxa"/>
            <w:shd w:val="clear" w:color="auto" w:fill="auto"/>
            <w:noWrap/>
            <w:vAlign w:val="center"/>
            <w:hideMark/>
          </w:tcPr>
          <w:p w14:paraId="1B0A590B" w14:textId="77777777" w:rsidR="00327828" w:rsidRPr="005B755B" w:rsidRDefault="00327828" w:rsidP="005B755B">
            <w:pPr>
              <w:jc w:val="center"/>
              <w:rPr>
                <w:rFonts w:cs="Arial"/>
                <w:color w:val="000000"/>
              </w:rPr>
            </w:pPr>
            <w:r w:rsidRPr="005B755B">
              <w:rPr>
                <w:rFonts w:cs="Arial"/>
                <w:color w:val="000000"/>
              </w:rPr>
              <w:t>Negative</w:t>
            </w:r>
          </w:p>
        </w:tc>
        <w:tc>
          <w:tcPr>
            <w:tcW w:w="1650" w:type="dxa"/>
            <w:vAlign w:val="center"/>
          </w:tcPr>
          <w:p w14:paraId="7706AD0C" w14:textId="77777777" w:rsidR="00327828" w:rsidRPr="005B755B" w:rsidRDefault="00327828" w:rsidP="005B755B">
            <w:pPr>
              <w:jc w:val="center"/>
              <w:rPr>
                <w:rFonts w:cs="Arial"/>
                <w:color w:val="000000"/>
              </w:rPr>
            </w:pPr>
            <w:r w:rsidRPr="005B755B">
              <w:rPr>
                <w:rFonts w:cs="Arial"/>
                <w:color w:val="000000"/>
              </w:rPr>
              <w:t>Negative</w:t>
            </w:r>
          </w:p>
        </w:tc>
      </w:tr>
      <w:tr w:rsidR="00327828" w:rsidRPr="006E00DC" w14:paraId="2E2FF67F" w14:textId="77777777" w:rsidTr="00327828">
        <w:trPr>
          <w:trHeight w:val="300"/>
          <w:jc w:val="center"/>
        </w:trPr>
        <w:tc>
          <w:tcPr>
            <w:tcW w:w="1075" w:type="dxa"/>
            <w:shd w:val="clear" w:color="auto" w:fill="auto"/>
            <w:noWrap/>
            <w:vAlign w:val="bottom"/>
            <w:hideMark/>
          </w:tcPr>
          <w:p w14:paraId="12F00308" w14:textId="056FBBA5" w:rsidR="00327828" w:rsidRPr="005B755B" w:rsidRDefault="00327828" w:rsidP="00327828">
            <w:pPr>
              <w:rPr>
                <w:rFonts w:cs="Arial"/>
                <w:color w:val="000000"/>
              </w:rPr>
            </w:pPr>
            <w:r w:rsidRPr="005B755B">
              <w:rPr>
                <w:rFonts w:cs="Arial"/>
                <w:color w:val="000000"/>
              </w:rPr>
              <w:t>F</w:t>
            </w:r>
            <w:r>
              <w:rPr>
                <w:rFonts w:cs="Arial"/>
                <w:color w:val="000000"/>
              </w:rPr>
              <w:t>emale</w:t>
            </w:r>
            <w:r w:rsidRPr="005B755B">
              <w:rPr>
                <w:rFonts w:cs="Arial"/>
                <w:color w:val="000000"/>
              </w:rPr>
              <w:t xml:space="preserve"> 2</w:t>
            </w:r>
          </w:p>
        </w:tc>
        <w:tc>
          <w:tcPr>
            <w:tcW w:w="1890" w:type="dxa"/>
            <w:vAlign w:val="center"/>
          </w:tcPr>
          <w:p w14:paraId="49E66766" w14:textId="1D0EAE56"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1CB117FC" w14:textId="41573704"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50F1DC5D" w14:textId="77777777" w:rsidR="00327828" w:rsidRPr="005B755B" w:rsidRDefault="00327828" w:rsidP="00327828">
            <w:pPr>
              <w:jc w:val="center"/>
              <w:rPr>
                <w:rFonts w:cs="Arial"/>
                <w:color w:val="000000"/>
              </w:rPr>
            </w:pPr>
            <w:r w:rsidRPr="005B755B">
              <w:rPr>
                <w:rFonts w:cs="Arial"/>
                <w:color w:val="000000"/>
              </w:rPr>
              <w:t>Negative</w:t>
            </w:r>
          </w:p>
        </w:tc>
        <w:tc>
          <w:tcPr>
            <w:tcW w:w="1650" w:type="dxa"/>
            <w:vAlign w:val="center"/>
          </w:tcPr>
          <w:p w14:paraId="699FB001" w14:textId="57252608" w:rsidR="00327828" w:rsidRPr="005B755B" w:rsidRDefault="00327828" w:rsidP="00327828">
            <w:pPr>
              <w:jc w:val="center"/>
              <w:rPr>
                <w:rFonts w:cs="Arial"/>
                <w:color w:val="000000"/>
              </w:rPr>
            </w:pPr>
            <w:r w:rsidRPr="005B755B">
              <w:rPr>
                <w:rFonts w:cs="Arial"/>
              </w:rPr>
              <w:t>7.5</w:t>
            </w:r>
            <w:r>
              <w:rPr>
                <w:rFonts w:cs="Arial"/>
              </w:rPr>
              <w:t xml:space="preserve"> x 10</w:t>
            </w:r>
            <w:r w:rsidRPr="005B755B">
              <w:rPr>
                <w:rFonts w:cs="Arial"/>
                <w:vertAlign w:val="superscript"/>
              </w:rPr>
              <w:t xml:space="preserve">5 </w:t>
            </w:r>
          </w:p>
        </w:tc>
      </w:tr>
      <w:tr w:rsidR="00327828" w:rsidRPr="006E00DC" w14:paraId="0EC14581" w14:textId="77777777" w:rsidTr="00327828">
        <w:trPr>
          <w:trHeight w:val="300"/>
          <w:jc w:val="center"/>
        </w:trPr>
        <w:tc>
          <w:tcPr>
            <w:tcW w:w="1075" w:type="dxa"/>
            <w:shd w:val="clear" w:color="auto" w:fill="auto"/>
            <w:noWrap/>
            <w:vAlign w:val="bottom"/>
            <w:hideMark/>
          </w:tcPr>
          <w:p w14:paraId="011041B4" w14:textId="2822BEC1" w:rsidR="00327828" w:rsidRPr="005B755B" w:rsidRDefault="00327828" w:rsidP="00327828">
            <w:pPr>
              <w:rPr>
                <w:rFonts w:cs="Arial"/>
                <w:color w:val="000000"/>
              </w:rPr>
            </w:pPr>
            <w:r w:rsidRPr="005B755B">
              <w:rPr>
                <w:rFonts w:cs="Arial"/>
                <w:color w:val="000000"/>
              </w:rPr>
              <w:t>M</w:t>
            </w:r>
            <w:r>
              <w:rPr>
                <w:rFonts w:cs="Arial"/>
                <w:color w:val="000000"/>
              </w:rPr>
              <w:t>ale</w:t>
            </w:r>
            <w:r w:rsidRPr="005B755B">
              <w:rPr>
                <w:rFonts w:cs="Arial"/>
                <w:color w:val="000000"/>
              </w:rPr>
              <w:t xml:space="preserve"> 1</w:t>
            </w:r>
          </w:p>
        </w:tc>
        <w:tc>
          <w:tcPr>
            <w:tcW w:w="1890" w:type="dxa"/>
            <w:vAlign w:val="center"/>
          </w:tcPr>
          <w:p w14:paraId="1AD576D2" w14:textId="5742E49E"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67B54884" w14:textId="271990D1"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30ABDDA7" w14:textId="77777777" w:rsidR="00327828" w:rsidRPr="005B755B" w:rsidRDefault="00327828" w:rsidP="00327828">
            <w:pPr>
              <w:jc w:val="center"/>
              <w:rPr>
                <w:rFonts w:cs="Arial"/>
                <w:color w:val="000000"/>
              </w:rPr>
            </w:pPr>
            <w:r w:rsidRPr="005B755B">
              <w:rPr>
                <w:rFonts w:cs="Arial"/>
                <w:color w:val="000000"/>
              </w:rPr>
              <w:t>Negative</w:t>
            </w:r>
          </w:p>
        </w:tc>
        <w:tc>
          <w:tcPr>
            <w:tcW w:w="1650" w:type="dxa"/>
            <w:vAlign w:val="center"/>
          </w:tcPr>
          <w:p w14:paraId="4C630B9C" w14:textId="5F251D9D" w:rsidR="00327828" w:rsidRPr="005B755B" w:rsidRDefault="00327828" w:rsidP="00327828">
            <w:pPr>
              <w:jc w:val="center"/>
              <w:rPr>
                <w:rFonts w:cs="Arial"/>
                <w:color w:val="000000"/>
              </w:rPr>
            </w:pPr>
            <w:r w:rsidRPr="005B755B">
              <w:rPr>
                <w:rFonts w:cs="Arial"/>
              </w:rPr>
              <w:t>1.</w:t>
            </w:r>
            <w:r>
              <w:rPr>
                <w:rFonts w:cs="Arial"/>
              </w:rPr>
              <w:t>2 x 10</w:t>
            </w:r>
            <w:r w:rsidRPr="00327828">
              <w:rPr>
                <w:rFonts w:cs="Arial"/>
                <w:vertAlign w:val="superscript"/>
              </w:rPr>
              <w:t>5</w:t>
            </w:r>
            <w:r>
              <w:rPr>
                <w:rFonts w:cs="Arial"/>
              </w:rPr>
              <w:t xml:space="preserve"> </w:t>
            </w:r>
          </w:p>
        </w:tc>
      </w:tr>
      <w:tr w:rsidR="00327828" w:rsidRPr="006E00DC" w14:paraId="066E3851" w14:textId="77777777" w:rsidTr="00327828">
        <w:trPr>
          <w:trHeight w:val="300"/>
          <w:jc w:val="center"/>
        </w:trPr>
        <w:tc>
          <w:tcPr>
            <w:tcW w:w="1075" w:type="dxa"/>
            <w:shd w:val="clear" w:color="auto" w:fill="auto"/>
            <w:noWrap/>
            <w:vAlign w:val="bottom"/>
            <w:hideMark/>
          </w:tcPr>
          <w:p w14:paraId="27941392" w14:textId="79220B52" w:rsidR="00327828" w:rsidRPr="005B755B" w:rsidRDefault="00327828" w:rsidP="00327828">
            <w:pPr>
              <w:rPr>
                <w:rFonts w:cs="Arial"/>
                <w:color w:val="000000"/>
              </w:rPr>
            </w:pPr>
            <w:r w:rsidRPr="005B755B">
              <w:rPr>
                <w:rFonts w:cs="Arial"/>
                <w:color w:val="000000"/>
              </w:rPr>
              <w:t>M</w:t>
            </w:r>
            <w:r>
              <w:rPr>
                <w:rFonts w:cs="Arial"/>
                <w:color w:val="000000"/>
              </w:rPr>
              <w:t>ale</w:t>
            </w:r>
            <w:r w:rsidRPr="005B755B">
              <w:rPr>
                <w:rFonts w:cs="Arial"/>
                <w:color w:val="000000"/>
              </w:rPr>
              <w:t xml:space="preserve"> 2</w:t>
            </w:r>
          </w:p>
        </w:tc>
        <w:tc>
          <w:tcPr>
            <w:tcW w:w="1890" w:type="dxa"/>
            <w:vAlign w:val="center"/>
          </w:tcPr>
          <w:p w14:paraId="40E720FB" w14:textId="3C497743"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76BF9A3B" w14:textId="0A3C286A" w:rsidR="00327828" w:rsidRPr="005B755B" w:rsidRDefault="00327828" w:rsidP="00327828">
            <w:pPr>
              <w:jc w:val="center"/>
              <w:rPr>
                <w:rFonts w:cs="Arial"/>
                <w:color w:val="000000"/>
              </w:rPr>
            </w:pPr>
            <w:r w:rsidRPr="005B755B">
              <w:rPr>
                <w:rFonts w:cs="Arial"/>
                <w:color w:val="000000"/>
              </w:rPr>
              <w:t>Negative</w:t>
            </w:r>
          </w:p>
        </w:tc>
        <w:tc>
          <w:tcPr>
            <w:tcW w:w="1890" w:type="dxa"/>
            <w:shd w:val="clear" w:color="auto" w:fill="auto"/>
            <w:noWrap/>
            <w:vAlign w:val="center"/>
            <w:hideMark/>
          </w:tcPr>
          <w:p w14:paraId="2F8CD39A" w14:textId="77777777" w:rsidR="00327828" w:rsidRPr="005B755B" w:rsidRDefault="00327828" w:rsidP="00327828">
            <w:pPr>
              <w:jc w:val="center"/>
              <w:rPr>
                <w:rFonts w:cs="Arial"/>
                <w:color w:val="000000"/>
              </w:rPr>
            </w:pPr>
            <w:r w:rsidRPr="005B755B">
              <w:rPr>
                <w:rFonts w:cs="Arial"/>
                <w:color w:val="000000"/>
              </w:rPr>
              <w:t>Negative</w:t>
            </w:r>
          </w:p>
        </w:tc>
        <w:tc>
          <w:tcPr>
            <w:tcW w:w="1650" w:type="dxa"/>
            <w:vAlign w:val="center"/>
          </w:tcPr>
          <w:p w14:paraId="489E92B0" w14:textId="3ED903F6" w:rsidR="00327828" w:rsidRPr="005B755B" w:rsidRDefault="00327828" w:rsidP="00327828">
            <w:pPr>
              <w:jc w:val="center"/>
              <w:rPr>
                <w:rFonts w:cs="Arial"/>
                <w:color w:val="000000"/>
              </w:rPr>
            </w:pPr>
            <w:r w:rsidRPr="005B755B">
              <w:rPr>
                <w:rFonts w:cs="Arial"/>
              </w:rPr>
              <w:t>4.5</w:t>
            </w:r>
            <w:r>
              <w:rPr>
                <w:rFonts w:cs="Arial"/>
              </w:rPr>
              <w:t xml:space="preserve"> x 10</w:t>
            </w:r>
            <w:r w:rsidRPr="00327828">
              <w:rPr>
                <w:rFonts w:cs="Arial"/>
                <w:vertAlign w:val="superscript"/>
              </w:rPr>
              <w:t>3</w:t>
            </w:r>
          </w:p>
        </w:tc>
      </w:tr>
    </w:tbl>
    <w:p w14:paraId="4AB29E32" w14:textId="77777777" w:rsidR="00095642" w:rsidRDefault="00095642" w:rsidP="006D4B5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spacing w:val="-2"/>
        </w:rPr>
      </w:pPr>
    </w:p>
    <w:p w14:paraId="1588B089"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b/>
          <w:spacing w:val="-2"/>
        </w:rPr>
        <w:t>VIROLOGY</w:t>
      </w:r>
      <w:r>
        <w:rPr>
          <w:spacing w:val="-2"/>
        </w:rPr>
        <w:t>:</w:t>
      </w:r>
      <w:r>
        <w:rPr>
          <w:spacing w:val="-2"/>
        </w:rPr>
        <w:tab/>
      </w:r>
    </w:p>
    <w:p w14:paraId="37E93B22"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p>
    <w:p w14:paraId="49B69F2E"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sidRPr="00885855">
        <w:rPr>
          <w:i/>
          <w:iCs/>
          <w:spacing w:val="-2"/>
          <w:u w:val="single"/>
        </w:rPr>
        <w:t>Females:</w:t>
      </w:r>
      <w:r>
        <w:rPr>
          <w:spacing w:val="-2"/>
        </w:rPr>
        <w:t xml:space="preserve"> </w:t>
      </w:r>
      <w:r>
        <w:rPr>
          <w:spacing w:val="-2"/>
        </w:rPr>
        <w:tab/>
        <w:t>0/2</w:t>
      </w:r>
      <w:r>
        <w:rPr>
          <w:spacing w:val="-2"/>
        </w:rPr>
        <w:tab/>
      </w:r>
      <w:r>
        <w:rPr>
          <w:spacing w:val="-2"/>
        </w:rPr>
        <w:tab/>
        <w:t xml:space="preserve">positive for viral CPE. Ovarian fluids processed individually by quantal assay on EPC </w:t>
      </w:r>
    </w:p>
    <w:p w14:paraId="69797458"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sidRPr="00095642">
        <w:rPr>
          <w:i/>
          <w:iCs/>
          <w:spacing w:val="-2"/>
        </w:rPr>
        <w:tab/>
      </w:r>
      <w:r w:rsidRPr="00095642">
        <w:rPr>
          <w:i/>
          <w:iCs/>
          <w:spacing w:val="-2"/>
        </w:rPr>
        <w:tab/>
      </w:r>
      <w:r w:rsidRPr="00095642">
        <w:rPr>
          <w:i/>
          <w:iCs/>
          <w:spacing w:val="-2"/>
        </w:rPr>
        <w:tab/>
      </w:r>
      <w:r w:rsidRPr="00095642">
        <w:rPr>
          <w:i/>
          <w:iCs/>
          <w:spacing w:val="-2"/>
        </w:rPr>
        <w:tab/>
      </w:r>
      <w:r w:rsidRPr="00095642">
        <w:rPr>
          <w:i/>
          <w:iCs/>
          <w:spacing w:val="-2"/>
        </w:rPr>
        <w:tab/>
      </w:r>
      <w:r>
        <w:rPr>
          <w:spacing w:val="-2"/>
        </w:rPr>
        <w:t xml:space="preserve">and CHSE-214 cell lines at 15.5°C for 14 days and blind-passaged for an additional 14 </w:t>
      </w:r>
    </w:p>
    <w:p w14:paraId="0B60CC66" w14:textId="775D6CE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spacing w:val="-2"/>
        </w:rPr>
        <w:tab/>
      </w:r>
      <w:r>
        <w:rPr>
          <w:spacing w:val="-2"/>
        </w:rPr>
        <w:tab/>
      </w:r>
      <w:r>
        <w:rPr>
          <w:spacing w:val="-2"/>
        </w:rPr>
        <w:tab/>
      </w:r>
      <w:r>
        <w:rPr>
          <w:spacing w:val="-2"/>
        </w:rPr>
        <w:tab/>
      </w:r>
      <w:r>
        <w:rPr>
          <w:spacing w:val="-2"/>
        </w:rPr>
        <w:tab/>
        <w:t xml:space="preserve">days. Minimum level of detection was 5 infectious particles/ml of pooled sample. Cells </w:t>
      </w:r>
    </w:p>
    <w:p w14:paraId="02A9505D" w14:textId="764B8CD8"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spacing w:val="-2"/>
        </w:rPr>
        <w:tab/>
      </w:r>
      <w:r>
        <w:rPr>
          <w:spacing w:val="-2"/>
        </w:rPr>
        <w:tab/>
      </w:r>
      <w:r>
        <w:rPr>
          <w:spacing w:val="-2"/>
        </w:rPr>
        <w:tab/>
      </w:r>
      <w:r>
        <w:rPr>
          <w:spacing w:val="-2"/>
        </w:rPr>
        <w:tab/>
      </w:r>
      <w:r>
        <w:rPr>
          <w:spacing w:val="-2"/>
        </w:rPr>
        <w:tab/>
        <w:t>were pretreated with PEG to enhance viral infectivity.</w:t>
      </w:r>
    </w:p>
    <w:p w14:paraId="347CAA92"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p>
    <w:p w14:paraId="51DC2986"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i/>
          <w:iCs/>
          <w:spacing w:val="-2"/>
          <w:u w:val="single"/>
        </w:rPr>
        <w:t>Mal</w:t>
      </w:r>
      <w:r w:rsidRPr="00885855">
        <w:rPr>
          <w:i/>
          <w:iCs/>
          <w:spacing w:val="-2"/>
          <w:u w:val="single"/>
        </w:rPr>
        <w:t>es:</w:t>
      </w:r>
      <w:r>
        <w:rPr>
          <w:spacing w:val="-2"/>
        </w:rPr>
        <w:t xml:space="preserve"> </w:t>
      </w:r>
      <w:r>
        <w:rPr>
          <w:spacing w:val="-2"/>
        </w:rPr>
        <w:tab/>
      </w:r>
      <w:r>
        <w:rPr>
          <w:spacing w:val="-2"/>
        </w:rPr>
        <w:tab/>
        <w:t>1/2</w:t>
      </w:r>
      <w:r>
        <w:rPr>
          <w:spacing w:val="-2"/>
        </w:rPr>
        <w:tab/>
      </w:r>
      <w:r>
        <w:rPr>
          <w:spacing w:val="-2"/>
        </w:rPr>
        <w:tab/>
        <w:t xml:space="preserve">positive for viral CPE (50%). Kidney/Spleen were pooled for each fish and processed </w:t>
      </w:r>
    </w:p>
    <w:p w14:paraId="322ADF2B" w14:textId="591EC78F"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sidRPr="00095642">
        <w:rPr>
          <w:i/>
          <w:iCs/>
          <w:spacing w:val="-2"/>
        </w:rPr>
        <w:tab/>
      </w:r>
      <w:r w:rsidRPr="00095642">
        <w:rPr>
          <w:i/>
          <w:iCs/>
          <w:spacing w:val="-2"/>
        </w:rPr>
        <w:tab/>
      </w:r>
      <w:r w:rsidRPr="00095642">
        <w:rPr>
          <w:i/>
          <w:iCs/>
          <w:spacing w:val="-2"/>
        </w:rPr>
        <w:tab/>
      </w:r>
      <w:r w:rsidRPr="00095642">
        <w:rPr>
          <w:i/>
          <w:iCs/>
          <w:spacing w:val="-2"/>
        </w:rPr>
        <w:tab/>
      </w:r>
      <w:r w:rsidRPr="00095642">
        <w:rPr>
          <w:i/>
          <w:iCs/>
          <w:spacing w:val="-2"/>
        </w:rPr>
        <w:tab/>
      </w:r>
      <w:r>
        <w:rPr>
          <w:spacing w:val="-2"/>
        </w:rPr>
        <w:t xml:space="preserve">individually by fish using the quantal assay on the EPC and CHSE-214 cell lines at </w:t>
      </w:r>
    </w:p>
    <w:p w14:paraId="31C034B0" w14:textId="6EFDAE6B"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spacing w:val="-2"/>
        </w:rPr>
        <w:tab/>
      </w:r>
      <w:r>
        <w:rPr>
          <w:spacing w:val="-2"/>
        </w:rPr>
        <w:tab/>
      </w:r>
      <w:r>
        <w:rPr>
          <w:spacing w:val="-2"/>
        </w:rPr>
        <w:tab/>
      </w:r>
      <w:r>
        <w:rPr>
          <w:spacing w:val="-2"/>
        </w:rPr>
        <w:tab/>
      </w:r>
      <w:r>
        <w:rPr>
          <w:spacing w:val="-2"/>
        </w:rPr>
        <w:tab/>
        <w:t xml:space="preserve">15.5°C for 14 days and blind-passaged for an additional 14 days. Minimum level of </w:t>
      </w:r>
    </w:p>
    <w:p w14:paraId="35B20307" w14:textId="4B5E270F"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spacing w:val="-2"/>
        </w:rPr>
        <w:tab/>
      </w:r>
      <w:r>
        <w:rPr>
          <w:spacing w:val="-2"/>
        </w:rPr>
        <w:tab/>
      </w:r>
      <w:r>
        <w:rPr>
          <w:spacing w:val="-2"/>
        </w:rPr>
        <w:tab/>
      </w:r>
      <w:r>
        <w:rPr>
          <w:spacing w:val="-2"/>
        </w:rPr>
        <w:tab/>
      </w:r>
      <w:r>
        <w:rPr>
          <w:spacing w:val="-2"/>
        </w:rPr>
        <w:tab/>
        <w:t>detection was 50 infectious particles/</w:t>
      </w:r>
      <w:r w:rsidRPr="00CA36A8">
        <w:rPr>
          <w:spacing w:val="-2"/>
        </w:rPr>
        <w:t>g</w:t>
      </w:r>
      <w:r>
        <w:rPr>
          <w:spacing w:val="-2"/>
        </w:rPr>
        <w:t xml:space="preserve"> of pooled sample. Cells were pretreated with </w:t>
      </w:r>
    </w:p>
    <w:p w14:paraId="092AFB23"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r>
        <w:rPr>
          <w:spacing w:val="-2"/>
        </w:rPr>
        <w:tab/>
      </w:r>
      <w:r>
        <w:rPr>
          <w:spacing w:val="-2"/>
        </w:rPr>
        <w:tab/>
      </w:r>
      <w:r>
        <w:rPr>
          <w:spacing w:val="-2"/>
        </w:rPr>
        <w:tab/>
      </w:r>
      <w:r>
        <w:rPr>
          <w:spacing w:val="-2"/>
        </w:rPr>
        <w:tab/>
      </w:r>
      <w:r>
        <w:rPr>
          <w:spacing w:val="-2"/>
        </w:rPr>
        <w:tab/>
        <w:t>PEG to enhance viral infectivity.</w:t>
      </w:r>
    </w:p>
    <w:p w14:paraId="50F12E27" w14:textId="77777777" w:rsidR="00095642"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p>
    <w:p w14:paraId="2EC65CA3" w14:textId="2652FEDA" w:rsidR="00095642" w:rsidRPr="004B4A4B"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spacing w:val="-2"/>
        </w:rPr>
      </w:pPr>
      <w:r>
        <w:rPr>
          <w:bCs/>
          <w:spacing w:val="-2"/>
        </w:rPr>
        <w:t>Virus</w:t>
      </w:r>
      <w:r w:rsidRPr="00B46237">
        <w:rPr>
          <w:bCs/>
          <w:spacing w:val="-2"/>
        </w:rPr>
        <w:t>-positive</w:t>
      </w:r>
      <w:r>
        <w:rPr>
          <w:bCs/>
          <w:spacing w:val="-2"/>
        </w:rPr>
        <w:t xml:space="preserve"> male</w:t>
      </w:r>
      <w:r w:rsidRPr="00B46237">
        <w:rPr>
          <w:bCs/>
          <w:spacing w:val="-2"/>
        </w:rPr>
        <w:t xml:space="preserve"> #</w:t>
      </w:r>
      <w:r>
        <w:rPr>
          <w:bCs/>
          <w:spacing w:val="-2"/>
        </w:rPr>
        <w:t xml:space="preserve">’s: </w:t>
      </w:r>
      <w:r w:rsidR="006D4B5D">
        <w:rPr>
          <w:b/>
          <w:spacing w:val="-2"/>
        </w:rPr>
        <w:t>2</w:t>
      </w:r>
      <w:r w:rsidRPr="003E560D">
        <w:rPr>
          <w:b/>
          <w:spacing w:val="-2"/>
        </w:rPr>
        <w:t>.</w:t>
      </w:r>
      <w:r>
        <w:rPr>
          <w:b/>
          <w:color w:val="FF0000"/>
          <w:spacing w:val="-2"/>
        </w:rPr>
        <w:t xml:space="preserve"> </w:t>
      </w:r>
      <w:r>
        <w:rPr>
          <w:spacing w:val="-2"/>
        </w:rPr>
        <w:t>The vir</w:t>
      </w:r>
      <w:r w:rsidRPr="00204848">
        <w:rPr>
          <w:spacing w:val="-2"/>
        </w:rPr>
        <w:t xml:space="preserve">us </w:t>
      </w:r>
      <w:r>
        <w:rPr>
          <w:spacing w:val="-2"/>
        </w:rPr>
        <w:t xml:space="preserve">from </w:t>
      </w:r>
      <w:r w:rsidR="006D4B5D">
        <w:rPr>
          <w:spacing w:val="-2"/>
        </w:rPr>
        <w:t>Male</w:t>
      </w:r>
      <w:r>
        <w:rPr>
          <w:spacing w:val="-2"/>
        </w:rPr>
        <w:t xml:space="preserve"> # </w:t>
      </w:r>
      <w:r w:rsidR="006D4B5D">
        <w:rPr>
          <w:spacing w:val="-2"/>
        </w:rPr>
        <w:t>2</w:t>
      </w:r>
      <w:r>
        <w:rPr>
          <w:spacing w:val="-2"/>
        </w:rPr>
        <w:t xml:space="preserve"> </w:t>
      </w:r>
      <w:r w:rsidRPr="00204848">
        <w:rPr>
          <w:spacing w:val="-2"/>
        </w:rPr>
        <w:t xml:space="preserve">was isolated </w:t>
      </w:r>
      <w:r>
        <w:rPr>
          <w:spacing w:val="-2"/>
        </w:rPr>
        <w:t xml:space="preserve">on </w:t>
      </w:r>
      <w:r w:rsidR="006D4B5D">
        <w:rPr>
          <w:spacing w:val="-2"/>
        </w:rPr>
        <w:t xml:space="preserve">the </w:t>
      </w:r>
      <w:r>
        <w:rPr>
          <w:spacing w:val="-2"/>
        </w:rPr>
        <w:t>CHSE-214 cell</w:t>
      </w:r>
      <w:r w:rsidR="006D4B5D">
        <w:rPr>
          <w:spacing w:val="-2"/>
        </w:rPr>
        <w:t xml:space="preserve"> line</w:t>
      </w:r>
      <w:r>
        <w:rPr>
          <w:spacing w:val="-2"/>
        </w:rPr>
        <w:t xml:space="preserve"> at </w:t>
      </w:r>
      <w:r w:rsidR="006D4B5D">
        <w:rPr>
          <w:spacing w:val="-2"/>
        </w:rPr>
        <w:t>9</w:t>
      </w:r>
      <w:r>
        <w:rPr>
          <w:spacing w:val="-2"/>
        </w:rPr>
        <w:t xml:space="preserve"> days post-inoculation </w:t>
      </w:r>
      <w:r w:rsidR="006D4B5D">
        <w:rPr>
          <w:spacing w:val="-2"/>
        </w:rPr>
        <w:t>and</w:t>
      </w:r>
      <w:r w:rsidRPr="004B4A4B">
        <w:rPr>
          <w:spacing w:val="-2"/>
        </w:rPr>
        <w:t xml:space="preserve"> </w:t>
      </w:r>
      <w:r w:rsidR="006D4B5D">
        <w:rPr>
          <w:spacing w:val="-2"/>
        </w:rPr>
        <w:t>8 days post-</w:t>
      </w:r>
      <w:r w:rsidRPr="004B4A4B">
        <w:rPr>
          <w:spacing w:val="-2"/>
        </w:rPr>
        <w:t xml:space="preserve">passage on this cell line. Viral CPE consisted of cellular swelling, vacuolation, and syncytia formation consistent with an </w:t>
      </w:r>
      <w:proofErr w:type="spellStart"/>
      <w:r w:rsidRPr="004B4A4B">
        <w:rPr>
          <w:spacing w:val="-2"/>
        </w:rPr>
        <w:t>aquareovirus</w:t>
      </w:r>
      <w:proofErr w:type="spellEnd"/>
      <w:r w:rsidRPr="004B4A4B">
        <w:rPr>
          <w:spacing w:val="-2"/>
        </w:rPr>
        <w:t>. This was confirmed with a highly specific nested PCR for Aquareovirus Species B (</w:t>
      </w:r>
      <w:proofErr w:type="spellStart"/>
      <w:r w:rsidRPr="004B4A4B">
        <w:rPr>
          <w:spacing w:val="-2"/>
        </w:rPr>
        <w:t>Makhsous</w:t>
      </w:r>
      <w:proofErr w:type="spellEnd"/>
      <w:r w:rsidRPr="004B4A4B">
        <w:rPr>
          <w:spacing w:val="-2"/>
        </w:rPr>
        <w:t xml:space="preserve"> et al., 2017; see below).</w:t>
      </w:r>
    </w:p>
    <w:p w14:paraId="0ADCA98B" w14:textId="77777777" w:rsidR="00095642" w:rsidRPr="004B4A4B" w:rsidRDefault="00095642" w:rsidP="0009564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spacing w:val="-2"/>
        </w:rPr>
      </w:pPr>
    </w:p>
    <w:p w14:paraId="120DE120" w14:textId="645A7A1D" w:rsidR="00095642" w:rsidRPr="008A58D1" w:rsidRDefault="00095642" w:rsidP="00095642">
      <w:pPr>
        <w:rPr>
          <w:b/>
          <w:bCs/>
        </w:rPr>
      </w:pPr>
      <w:r w:rsidRPr="004B4A4B">
        <w:rPr>
          <w:b/>
          <w:bCs/>
        </w:rPr>
        <w:t xml:space="preserve">PCR Confirmation:  </w:t>
      </w:r>
      <w:r w:rsidRPr="004B4A4B">
        <w:t>Total RNA was extracted from infected cell culture supernatant using the Direct-</w:t>
      </w:r>
      <w:proofErr w:type="spellStart"/>
      <w:r w:rsidRPr="004B4A4B">
        <w:t>zol</w:t>
      </w:r>
      <w:proofErr w:type="spellEnd"/>
      <w:r w:rsidRPr="004B4A4B">
        <w:rPr>
          <w:rFonts w:cstheme="minorHAnsi"/>
        </w:rPr>
        <w:t>™</w:t>
      </w:r>
      <w:r w:rsidRPr="004B4A4B">
        <w:t xml:space="preserve"> RNA </w:t>
      </w:r>
      <w:proofErr w:type="spellStart"/>
      <w:r w:rsidRPr="004B4A4B">
        <w:t>MiniPrep</w:t>
      </w:r>
      <w:proofErr w:type="spellEnd"/>
      <w:r w:rsidRPr="004B4A4B">
        <w:t xml:space="preserve"> with TRI-Reagent kit (</w:t>
      </w:r>
      <w:proofErr w:type="spellStart"/>
      <w:r w:rsidRPr="004B4A4B">
        <w:t>Zymo</w:t>
      </w:r>
      <w:proofErr w:type="spellEnd"/>
      <w:r w:rsidRPr="004B4A4B">
        <w:t xml:space="preserve"> Research) per manufacturer’s instructions. Prior to PCR, RNA template was pre-treated in the thermal cycler by heating the preparation to 60</w:t>
      </w:r>
      <w:r w:rsidRPr="004B4A4B">
        <w:rPr>
          <w:rFonts w:cstheme="minorHAnsi"/>
        </w:rPr>
        <w:t>°</w:t>
      </w:r>
      <w:r w:rsidRPr="004B4A4B">
        <w:t xml:space="preserve">C for 10 min then </w:t>
      </w:r>
      <w:r w:rsidRPr="004B4A4B">
        <w:lastRenderedPageBreak/>
        <w:t>stored on ice or 4</w:t>
      </w:r>
      <w:r w:rsidRPr="004B4A4B">
        <w:rPr>
          <w:rFonts w:cstheme="minorHAnsi"/>
        </w:rPr>
        <w:t>°</w:t>
      </w:r>
      <w:r w:rsidRPr="004B4A4B">
        <w:t>C for up to 30 min to maintain single-strandedness, reduce secondary structure formation, and allow the primers to bind during the RT step. RT-PCR was performed using a 50</w:t>
      </w:r>
      <w:r w:rsidRPr="004B4A4B">
        <w:rPr>
          <w:rFonts w:cstheme="minorHAnsi"/>
        </w:rPr>
        <w:t>µ</w:t>
      </w:r>
      <w:r w:rsidRPr="004B4A4B">
        <w:t>l reaction containing 5</w:t>
      </w:r>
      <w:r w:rsidRPr="004B4A4B">
        <w:rPr>
          <w:rFonts w:cstheme="minorHAnsi"/>
        </w:rPr>
        <w:t>µ</w:t>
      </w:r>
      <w:r w:rsidRPr="004B4A4B">
        <w:t>l of RNA template and 2.5</w:t>
      </w:r>
      <w:r w:rsidRPr="004B4A4B">
        <w:rPr>
          <w:rFonts w:cstheme="minorHAnsi"/>
        </w:rPr>
        <w:t>µ</w:t>
      </w:r>
      <w:r w:rsidRPr="004B4A4B">
        <w:t xml:space="preserve">l of </w:t>
      </w:r>
      <w:r w:rsidRPr="004B4A4B">
        <w:rPr>
          <w:rFonts w:cstheme="minorHAnsi"/>
        </w:rPr>
        <w:t xml:space="preserve">primers for Aquareovirus </w:t>
      </w:r>
      <w:r w:rsidR="00CF6DE6">
        <w:rPr>
          <w:rFonts w:cstheme="minorHAnsi"/>
        </w:rPr>
        <w:t xml:space="preserve">Species B </w:t>
      </w:r>
      <w:r w:rsidRPr="004B4A4B">
        <w:rPr>
          <w:rFonts w:cstheme="minorHAnsi"/>
        </w:rPr>
        <w:t>(</w:t>
      </w:r>
      <w:proofErr w:type="spellStart"/>
      <w:r w:rsidRPr="004B4A4B">
        <w:rPr>
          <w:rFonts w:cstheme="minorHAnsi"/>
        </w:rPr>
        <w:t>Makhsous</w:t>
      </w:r>
      <w:proofErr w:type="spellEnd"/>
      <w:r w:rsidRPr="004B4A4B">
        <w:rPr>
          <w:rFonts w:cstheme="minorHAnsi"/>
        </w:rPr>
        <w:t xml:space="preserve"> et al., 2017) using standard thermocycling conditions. Gel electrophoresis was used to visualize the amplicon on a 2.0% agarose gel casted in Syber safe under UV transillumination</w:t>
      </w:r>
      <w:r>
        <w:rPr>
          <w:rFonts w:cstheme="minorHAnsi"/>
        </w:rPr>
        <w:t xml:space="preserve">. </w:t>
      </w:r>
      <w:bookmarkStart w:id="0" w:name="_Hlk104883139"/>
    </w:p>
    <w:bookmarkEnd w:id="0"/>
    <w:p w14:paraId="39824757" w14:textId="77777777" w:rsidR="00095642" w:rsidRDefault="00095642" w:rsidP="0009564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55F7AFB8" w14:textId="581154FE" w:rsidR="00095642" w:rsidRDefault="00095642" w:rsidP="0009564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bCs/>
          <w:i/>
          <w:iCs/>
          <w:spacing w:val="-2"/>
        </w:rPr>
      </w:pPr>
      <w:r>
        <w:rPr>
          <w:b/>
          <w:bCs/>
          <w:i/>
          <w:iCs/>
          <w:spacing w:val="-2"/>
        </w:rPr>
        <w:tab/>
      </w:r>
      <w:r w:rsidR="006D4B5D">
        <w:rPr>
          <w:b/>
          <w:bCs/>
          <w:i/>
          <w:iCs/>
          <w:spacing w:val="-2"/>
        </w:rPr>
        <w:t xml:space="preserve">Overall </w:t>
      </w:r>
      <w:r w:rsidRPr="00A9748E">
        <w:rPr>
          <w:b/>
          <w:bCs/>
          <w:i/>
          <w:iCs/>
          <w:spacing w:val="-2"/>
        </w:rPr>
        <w:t>Aquareovirus prevalence = 1/</w:t>
      </w:r>
      <w:r w:rsidR="006D4B5D">
        <w:rPr>
          <w:b/>
          <w:bCs/>
          <w:i/>
          <w:iCs/>
          <w:spacing w:val="-2"/>
        </w:rPr>
        <w:t>4</w:t>
      </w:r>
      <w:r w:rsidRPr="00A9748E">
        <w:rPr>
          <w:b/>
          <w:bCs/>
          <w:i/>
          <w:iCs/>
          <w:spacing w:val="-2"/>
        </w:rPr>
        <w:t xml:space="preserve"> (</w:t>
      </w:r>
      <w:r w:rsidR="006D4B5D">
        <w:rPr>
          <w:b/>
          <w:bCs/>
          <w:i/>
          <w:iCs/>
          <w:spacing w:val="-2"/>
        </w:rPr>
        <w:t>25</w:t>
      </w:r>
      <w:r w:rsidRPr="00A9748E">
        <w:rPr>
          <w:b/>
          <w:bCs/>
          <w:i/>
          <w:iCs/>
          <w:spacing w:val="-2"/>
        </w:rPr>
        <w:t>%)</w:t>
      </w:r>
    </w:p>
    <w:p w14:paraId="5CFAA2D2" w14:textId="77777777" w:rsidR="00095642" w:rsidRDefault="00095642"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spacing w:val="-2"/>
        </w:rPr>
      </w:pPr>
    </w:p>
    <w:p w14:paraId="2E22D72B" w14:textId="77777777" w:rsidR="004D43E8" w:rsidRP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r w:rsidRPr="004D43E8">
        <w:rPr>
          <w:b/>
          <w:color w:val="FF0000"/>
        </w:rPr>
        <w:t>THIAMINE TESTING:</w:t>
      </w:r>
      <w:r w:rsidRPr="004D43E8">
        <w:rPr>
          <w:b/>
          <w:color w:val="FF0000"/>
        </w:rPr>
        <w:tab/>
      </w:r>
      <w:r w:rsidRPr="004D43E8">
        <w:rPr>
          <w:bCs/>
          <w:color w:val="FF0000"/>
        </w:rPr>
        <w:t xml:space="preserve">Newly hatched alevin from each of the two egg lots were tested for thiamine by </w:t>
      </w:r>
    </w:p>
    <w:p w14:paraId="25E552D3" w14:textId="4DF576B1" w:rsidR="004D43E8" w:rsidRP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r w:rsidRPr="004D43E8">
        <w:rPr>
          <w:bCs/>
          <w:color w:val="FF0000"/>
        </w:rPr>
        <w:tab/>
      </w:r>
      <w:r w:rsidRPr="004D43E8">
        <w:rPr>
          <w:bCs/>
          <w:color w:val="FF0000"/>
        </w:rPr>
        <w:tab/>
      </w:r>
      <w:r w:rsidRPr="004D43E8">
        <w:rPr>
          <w:bCs/>
          <w:color w:val="FF0000"/>
        </w:rPr>
        <w:tab/>
      </w:r>
      <w:r w:rsidRPr="004D43E8">
        <w:rPr>
          <w:bCs/>
          <w:color w:val="FF0000"/>
        </w:rPr>
        <w:tab/>
      </w:r>
      <w:r w:rsidRPr="004D43E8">
        <w:rPr>
          <w:bCs/>
          <w:color w:val="FF0000"/>
        </w:rPr>
        <w:tab/>
      </w:r>
      <w:r w:rsidRPr="004D43E8">
        <w:rPr>
          <w:bCs/>
          <w:color w:val="FF0000"/>
        </w:rPr>
        <w:tab/>
        <w:t>Dr. Cody Pinger, NOAA Auke Bay Lab</w:t>
      </w:r>
    </w:p>
    <w:p w14:paraId="4AD92155" w14:textId="77777777" w:rsidR="004D43E8" w:rsidRP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p>
    <w:p w14:paraId="71CBFD49" w14:textId="2C9424D1" w:rsidR="004D43E8" w:rsidRP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r w:rsidRPr="004D43E8">
        <w:rPr>
          <w:bCs/>
          <w:color w:val="FF0000"/>
        </w:rPr>
        <w:t>0/2</w:t>
      </w:r>
      <w:r w:rsidRPr="004D43E8">
        <w:rPr>
          <w:bCs/>
          <w:color w:val="FF0000"/>
        </w:rPr>
        <w:tab/>
      </w:r>
      <w:r>
        <w:rPr>
          <w:bCs/>
          <w:color w:val="FF0000"/>
        </w:rPr>
        <w:t>A</w:t>
      </w:r>
      <w:r w:rsidRPr="004D43E8">
        <w:rPr>
          <w:bCs/>
          <w:color w:val="FF0000"/>
        </w:rPr>
        <w:t xml:space="preserve">levin </w:t>
      </w:r>
      <w:r>
        <w:rPr>
          <w:bCs/>
          <w:color w:val="FF0000"/>
        </w:rPr>
        <w:t>L</w:t>
      </w:r>
      <w:r w:rsidRPr="004D43E8">
        <w:rPr>
          <w:bCs/>
          <w:color w:val="FF0000"/>
        </w:rPr>
        <w:t xml:space="preserve">ots </w:t>
      </w:r>
      <w:r>
        <w:rPr>
          <w:bCs/>
          <w:color w:val="FF0000"/>
        </w:rPr>
        <w:t xml:space="preserve">were </w:t>
      </w:r>
      <w:r w:rsidRPr="004D43E8">
        <w:rPr>
          <w:bCs/>
          <w:color w:val="FF0000"/>
        </w:rPr>
        <w:t>thiamine deficient (results below)</w:t>
      </w:r>
    </w:p>
    <w:p w14:paraId="6208F490" w14:textId="77777777" w:rsidR="004D43E8" w:rsidRP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p>
    <w:p w14:paraId="47C268B6" w14:textId="7E0F1FB6" w:rsidR="004D43E8" w:rsidRPr="004D43E8" w:rsidRDefault="004D43E8" w:rsidP="004D43E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r w:rsidRPr="004D43E8">
        <w:rPr>
          <w:bCs/>
          <w:color w:val="FF0000"/>
        </w:rPr>
        <w:t>Alevin Lot</w:t>
      </w:r>
      <w:r w:rsidRPr="004D43E8">
        <w:rPr>
          <w:bCs/>
          <w:color w:val="FF0000"/>
        </w:rPr>
        <w:t xml:space="preserve"> 1: 9.2 nmol T/g</w:t>
      </w:r>
      <w:r w:rsidRPr="004D43E8">
        <w:rPr>
          <w:bCs/>
          <w:color w:val="FF0000"/>
        </w:rPr>
        <w:t xml:space="preserve"> = </w:t>
      </w:r>
      <w:r w:rsidRPr="004D43E8">
        <w:rPr>
          <w:bCs/>
          <w:color w:val="FF0000"/>
        </w:rPr>
        <w:t>1.3 nmol T/fry.</w:t>
      </w:r>
    </w:p>
    <w:p w14:paraId="0837DAFF" w14:textId="09E61949" w:rsidR="004D43E8" w:rsidRPr="004D43E8" w:rsidRDefault="004D43E8" w:rsidP="004D43E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color w:val="FF0000"/>
        </w:rPr>
      </w:pPr>
      <w:r w:rsidRPr="004D43E8">
        <w:rPr>
          <w:bCs/>
          <w:color w:val="FF0000"/>
        </w:rPr>
        <w:t>Alevin Lot</w:t>
      </w:r>
      <w:r w:rsidRPr="004D43E8">
        <w:rPr>
          <w:bCs/>
          <w:color w:val="FF0000"/>
        </w:rPr>
        <w:t xml:space="preserve"> 2: 8.0 nmol T/g </w:t>
      </w:r>
      <w:r w:rsidRPr="004D43E8">
        <w:rPr>
          <w:bCs/>
          <w:color w:val="FF0000"/>
        </w:rPr>
        <w:t xml:space="preserve">= </w:t>
      </w:r>
      <w:r w:rsidRPr="004D43E8">
        <w:rPr>
          <w:bCs/>
          <w:color w:val="FF0000"/>
        </w:rPr>
        <w:t>1.2 nmol T/fry</w:t>
      </w:r>
    </w:p>
    <w:p w14:paraId="4C75DE12" w14:textId="77777777" w:rsidR="004D43E8" w:rsidRDefault="004D43E8"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p>
    <w:p w14:paraId="7D7D782D" w14:textId="69A72651" w:rsidR="00CF6DE6" w:rsidRDefault="00D15BCD"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u w:val="single"/>
        </w:rPr>
        <w:t>COMMENTS/RECOMMENDATIONS</w:t>
      </w:r>
      <w:r>
        <w:t>:</w:t>
      </w:r>
      <w:r w:rsidR="00AC3BD1">
        <w:t xml:space="preserve">  The submitted samples from this eggtake for this special project were test-negative for </w:t>
      </w:r>
      <w:r w:rsidR="00AC3BD1" w:rsidRPr="00AC3BD1">
        <w:rPr>
          <w:i/>
          <w:iCs/>
        </w:rPr>
        <w:t>R. salmoninarum</w:t>
      </w:r>
      <w:r w:rsidR="00AC3BD1">
        <w:t xml:space="preserve"> by FAT, qPCR, and ELISA so all eggs are suitable for incubation. BKD Family Tracking results were emailed to hatchery and AYK staff on </w:t>
      </w:r>
      <w:r w:rsidR="00E11E05">
        <w:t>8/19/24</w:t>
      </w:r>
      <w:r w:rsidR="00AC3BD1">
        <w:t xml:space="preserve">. One of the females tested positive for </w:t>
      </w:r>
      <w:r w:rsidR="00AC3BD1" w:rsidRPr="00AC3BD1">
        <w:rPr>
          <w:i/>
          <w:iCs/>
        </w:rPr>
        <w:t>F. psychrophilum</w:t>
      </w:r>
      <w:r w:rsidR="00AC3BD1">
        <w:t xml:space="preserve"> DNA at a low-level estimated to be about 35 bacteria/mg of kidney. This bacterium is ubiquitous in the aquatic environment and thus not a surprising result. Both males and one of the two females also tested positive for </w:t>
      </w:r>
      <w:r w:rsidR="00AC3BD1" w:rsidRPr="00AC3BD1">
        <w:rPr>
          <w:i/>
          <w:iCs/>
        </w:rPr>
        <w:t xml:space="preserve">Ichthyophonus </w:t>
      </w:r>
      <w:r w:rsidR="00AC3BD1">
        <w:t xml:space="preserve">DNA, which is also not unexpected given the resurgence of this parasite and associated disease and mortality in Yukon River Chinook salmon in recent years. Although our estimates for </w:t>
      </w:r>
      <w:r w:rsidR="00AC3BD1" w:rsidRPr="00E11E05">
        <w:rPr>
          <w:i/>
          <w:iCs/>
        </w:rPr>
        <w:t>Ichthyophonus</w:t>
      </w:r>
      <w:r w:rsidR="00AC3BD1">
        <w:t xml:space="preserve"> infection density has used heart tissue, the kidney samples may have provided a reasonable proxy where </w:t>
      </w:r>
      <w:r w:rsidR="00CF6DE6">
        <w:t>the female and one of the males had a higher infection compared to the other male fish but were below the level regarded as high (&gt;10</w:t>
      </w:r>
      <w:r w:rsidR="00CF6DE6" w:rsidRPr="00CF6DE6">
        <w:rPr>
          <w:vertAlign w:val="superscript"/>
        </w:rPr>
        <w:t>7</w:t>
      </w:r>
      <w:r w:rsidR="00CF6DE6">
        <w:t xml:space="preserve"> copies/mg) based on the monitor program that we are currently developing. In hindsight, heart samples would have provided a better estimate of </w:t>
      </w:r>
      <w:r w:rsidR="00CF6DE6" w:rsidRPr="00CF6DE6">
        <w:rPr>
          <w:i/>
          <w:iCs/>
        </w:rPr>
        <w:t>Ichthyophonus</w:t>
      </w:r>
      <w:r w:rsidR="00CF6DE6">
        <w:t xml:space="preserve"> infection density. Although the parasite was prevalent at various</w:t>
      </w:r>
      <w:r w:rsidR="004C58A2">
        <w:t xml:space="preserve"> infection density</w:t>
      </w:r>
      <w:r w:rsidR="00CF6DE6">
        <w:t xml:space="preserve"> levels, none of the fish exhibited clinical signs of the disease at spawning. This parasite has not been shown to be vertically transmitted, so this should not impact the planned infection trials in the future that will also include unexposed fish from this cohort as a negative control. None of the submitted samples were test-positive for DNA of the parasite </w:t>
      </w:r>
      <w:r w:rsidR="00CF6DE6" w:rsidRPr="00E11E05">
        <w:rPr>
          <w:i/>
          <w:iCs/>
        </w:rPr>
        <w:t>T. bryosalmonae</w:t>
      </w:r>
      <w:r w:rsidR="00CF6DE6">
        <w:t xml:space="preserve">. </w:t>
      </w:r>
    </w:p>
    <w:p w14:paraId="10977CC5" w14:textId="77777777" w:rsidR="00CF6DE6" w:rsidRDefault="00CF6DE6"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85C1A2E" w14:textId="33B8929E" w:rsidR="00D15BCD" w:rsidRDefault="00CF6DE6" w:rsidP="00AC3BD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A virus was </w:t>
      </w:r>
      <w:r w:rsidRPr="004358C3">
        <w:t>isolate</w:t>
      </w:r>
      <w:r w:rsidR="00DD0057" w:rsidRPr="004358C3">
        <w:t>d</w:t>
      </w:r>
      <w:r w:rsidRPr="004358C3">
        <w:t xml:space="preserve"> from one of the two males that was confirmed to be Aquareovirus Species B using the species-specific PCR </w:t>
      </w:r>
      <w:r>
        <w:t xml:space="preserve">assay. This virus is endemic to Alaska and other Pacific Northwest states of Washington, Oregon, and </w:t>
      </w:r>
      <w:r w:rsidR="00E11E05">
        <w:t xml:space="preserve">Northern </w:t>
      </w:r>
      <w:r>
        <w:t>California</w:t>
      </w:r>
      <w:r w:rsidR="00E11E05">
        <w:t xml:space="preserve"> </w:t>
      </w:r>
      <w:r w:rsidR="004C58A2">
        <w:t>and has</w:t>
      </w:r>
      <w:r w:rsidR="00E11E05">
        <w:t xml:space="preserve"> not been associated with clinical disease or mortality (Meyers et al., 2019). This virus is of low pathogenicity resulting in self-limiting infections</w:t>
      </w:r>
      <w:r w:rsidR="004C58A2">
        <w:t xml:space="preserve"> with no </w:t>
      </w:r>
      <w:r w:rsidR="00E11E05">
        <w:t xml:space="preserve">evidence of vertical transmission. Therefore, the isolation of this virus from one of the two males is not of concern for Alaska, nor should it be for Washington where resultant progeny are to be transported next spring. </w:t>
      </w:r>
    </w:p>
    <w:p w14:paraId="1E1918C0" w14:textId="77777777"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4C32903F" w14:textId="7DFF0091"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FISH HEALTH INVESTIGATOR</w:t>
      </w:r>
      <w:r>
        <w:t>: J. Ferguson, T. Meyers</w:t>
      </w:r>
    </w:p>
    <w:p w14:paraId="4AD4AE82" w14:textId="77777777"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r>
        <w:tab/>
      </w:r>
      <w:r>
        <w:tab/>
      </w:r>
      <w:r>
        <w:tab/>
      </w:r>
      <w:r>
        <w:rPr>
          <w:b/>
          <w:noProof/>
        </w:rPr>
        <w:drawing>
          <wp:inline distT="0" distB="0" distL="0" distR="0" wp14:anchorId="53B0CA80" wp14:editId="40556D30">
            <wp:extent cx="381000" cy="381000"/>
            <wp:effectExtent l="0" t="0" r="0" b="0"/>
            <wp:docPr id="3" name="Picture 3" descr="Close-up of a twi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se-up of a twig&#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C378119" w14:textId="046B4476"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 D. Stewart, F. Woitel, R. Morris</w:t>
      </w:r>
    </w:p>
    <w:p w14:paraId="58608E0C" w14:textId="77777777"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8FA63B5" w14:textId="77777777"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tab/>
        <w:t xml:space="preserve">FY25, </w:t>
      </w:r>
      <w:bookmarkStart w:id="1" w:name="_Hlk94708958"/>
      <w:r>
        <w:t xml:space="preserve">Yukon Ich, Hershberger (USGS), Wolf (APU), Barcelona (APU) Kocan (Univ. WA), </w:t>
      </w:r>
    </w:p>
    <w:p w14:paraId="51C99053" w14:textId="77777777"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t xml:space="preserve">Ross (DFO), Clinton (SSSC), Linderman, Lee, West, Hamazaki, Borba, Tierman, Olson, </w:t>
      </w:r>
    </w:p>
    <w:p w14:paraId="3C458FF7" w14:textId="1BA470D4" w:rsidR="004C58A2" w:rsidRDefault="004C58A2" w:rsidP="004C58A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t>Pratt, Hyer, Savereide, Wuttig, ARLIS, R. Morris, Davis, Wilson, Vercessi, Pryor, Meyers</w:t>
      </w:r>
      <w:bookmarkEnd w:id="1"/>
      <w:r>
        <w:t xml:space="preserve">  </w:t>
      </w:r>
    </w:p>
    <w:p w14:paraId="723FA6F5" w14:textId="70E3206A" w:rsidR="00D33AB6" w:rsidRDefault="00D33AB6" w:rsidP="00D15BCD"/>
    <w:p w14:paraId="1B3EA93C" w14:textId="77777777" w:rsidR="00CC3D4C" w:rsidRDefault="00CC3D4C" w:rsidP="00CC3D4C">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LITERATURE CITED</w:t>
      </w:r>
      <w:r>
        <w:t>:</w:t>
      </w:r>
    </w:p>
    <w:p w14:paraId="4DEF2C60" w14:textId="77777777" w:rsidR="00CC3D4C" w:rsidRDefault="00CC3D4C" w:rsidP="00CC3D4C">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B8646F3" w14:textId="77777777" w:rsidR="00CC3D4C" w:rsidRDefault="00CC3D4C" w:rsidP="00CC3D4C">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r>
        <w:t>Bettge, K., Segner, H., Burki, R., Schmidt-</w:t>
      </w:r>
      <w:proofErr w:type="spellStart"/>
      <w:r>
        <w:t>Posthaus</w:t>
      </w:r>
      <w:proofErr w:type="spellEnd"/>
      <w:r>
        <w:t xml:space="preserve">, H., </w:t>
      </w:r>
      <w:proofErr w:type="spellStart"/>
      <w:r>
        <w:t>Wahli</w:t>
      </w:r>
      <w:proofErr w:type="spellEnd"/>
      <w:r>
        <w:t xml:space="preserve">, T. (2009). Proliferative kidney disease (PKD) of rainbow trout: Temperature- and time-related changes of </w:t>
      </w:r>
      <w:r w:rsidRPr="00150FA7">
        <w:rPr>
          <w:i/>
          <w:iCs/>
        </w:rPr>
        <w:t>Tetracapsuloides bryosalmonae</w:t>
      </w:r>
      <w:r>
        <w:t xml:space="preserve"> DNA in the kidney. </w:t>
      </w:r>
      <w:r w:rsidRPr="006F6581">
        <w:t>Parasitology</w:t>
      </w:r>
      <w:r>
        <w:rPr>
          <w:i/>
          <w:iCs/>
        </w:rPr>
        <w:t>,</w:t>
      </w:r>
      <w:r>
        <w:t xml:space="preserve"> </w:t>
      </w:r>
      <w:r w:rsidRPr="006F6581">
        <w:t>136</w:t>
      </w:r>
      <w:r>
        <w:t xml:space="preserve">(6), 615-625. </w:t>
      </w:r>
      <w:hyperlink r:id="rId7" w:history="1">
        <w:r w:rsidRPr="00DE6174">
          <w:rPr>
            <w:rStyle w:val="Hyperlink"/>
          </w:rPr>
          <w:t>https://doi.org/10.1017/S0031182009005800</w:t>
        </w:r>
      </w:hyperlink>
    </w:p>
    <w:p w14:paraId="3D870E70" w14:textId="77777777" w:rsidR="00011EB6" w:rsidRDefault="00011EB6" w:rsidP="00CC3D4C">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p>
    <w:p w14:paraId="60C907D7" w14:textId="1E73DB0C" w:rsidR="00CC3D4C" w:rsidRDefault="00011EB6" w:rsidP="00D15BCD">
      <w:r w:rsidRPr="00011EB6">
        <w:lastRenderedPageBreak/>
        <w:t xml:space="preserve">Chase, Dorothy &amp; Elliott, Diane &amp; </w:t>
      </w:r>
      <w:proofErr w:type="spellStart"/>
      <w:r w:rsidRPr="00011EB6">
        <w:t>Pascho</w:t>
      </w:r>
      <w:proofErr w:type="spellEnd"/>
      <w:r w:rsidRPr="00011EB6">
        <w:t xml:space="preserve">, Ronald. (2006). Detection and Quantification of </w:t>
      </w:r>
      <w:r w:rsidRPr="00011EB6">
        <w:rPr>
          <w:i/>
          <w:iCs/>
        </w:rPr>
        <w:t xml:space="preserve">Renibacterium </w:t>
      </w:r>
      <w:r>
        <w:rPr>
          <w:i/>
          <w:iCs/>
        </w:rPr>
        <w:t>s</w:t>
      </w:r>
      <w:r w:rsidRPr="00011EB6">
        <w:rPr>
          <w:i/>
          <w:iCs/>
        </w:rPr>
        <w:t>almoninarum</w:t>
      </w:r>
      <w:r w:rsidRPr="00011EB6">
        <w:t xml:space="preserve"> DNA in Salmonid Tissues by Real-Time Quantitative Polymerase Chain Reaction Analysis. Journal of veterinary diagnostic investigation: official publication of the American Association of Veterinary Laboratory Diagnosticians, Inc. 18. 375-80. </w:t>
      </w:r>
      <w:hyperlink r:id="rId8" w:history="1">
        <w:r w:rsidRPr="00A55696">
          <w:rPr>
            <w:rStyle w:val="Hyperlink"/>
          </w:rPr>
          <w:t>https://doi.org/10.1177/104063870601800409</w:t>
        </w:r>
      </w:hyperlink>
    </w:p>
    <w:p w14:paraId="7071D110" w14:textId="77777777" w:rsidR="00011EB6" w:rsidRDefault="00011EB6" w:rsidP="00D15BCD"/>
    <w:p w14:paraId="328D425D" w14:textId="0F02BF53" w:rsidR="00011EB6" w:rsidRDefault="00011EB6" w:rsidP="00011EB6">
      <w:r>
        <w:t xml:space="preserve">Elliott D.G., CM Conway, CL McKibben, AH </w:t>
      </w:r>
      <w:proofErr w:type="spellStart"/>
      <w:r>
        <w:t>MacKenzie</w:t>
      </w:r>
      <w:proofErr w:type="spellEnd"/>
      <w:r>
        <w:t xml:space="preserve"> and others. 2021. Differential susceptibility of Yukon River and Salish Sea stocks of Chinook salmon </w:t>
      </w:r>
      <w:r w:rsidRPr="00011EB6">
        <w:rPr>
          <w:i/>
          <w:iCs/>
        </w:rPr>
        <w:t>Oncorhynchus tshawytscha</w:t>
      </w:r>
      <w:r>
        <w:t xml:space="preserve"> to ichthyophoniasis. Dis </w:t>
      </w:r>
      <w:proofErr w:type="spellStart"/>
      <w:r>
        <w:t>Aquat</w:t>
      </w:r>
      <w:proofErr w:type="spellEnd"/>
      <w:r>
        <w:t xml:space="preserve"> Org 144:123-131. </w:t>
      </w:r>
      <w:hyperlink r:id="rId9" w:history="1">
        <w:r w:rsidRPr="00A55696">
          <w:rPr>
            <w:rStyle w:val="Hyperlink"/>
          </w:rPr>
          <w:t>https://doi.org/10.3354/dao03577</w:t>
        </w:r>
      </w:hyperlink>
    </w:p>
    <w:p w14:paraId="38CD2EE8" w14:textId="77777777" w:rsidR="00011EB6" w:rsidRDefault="00011EB6" w:rsidP="00011E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04B98FE" w14:textId="768F247B" w:rsidR="00011EB6" w:rsidRDefault="00011EB6" w:rsidP="00011EB6">
      <w:r>
        <w:t xml:space="preserve">Gregg L. L., Hershberger P. K., Neat A. S., Jayasekera H. T., Ferguson J. A., Powers R. L., Purcell M. K. 2022. A phylogeny based on cytochrome-c oxidase gene sequences identifies sympatric </w:t>
      </w:r>
      <w:r w:rsidRPr="00011EB6">
        <w:rPr>
          <w:i/>
          <w:iCs/>
          <w:u w:val="single"/>
        </w:rPr>
        <w:t>Ichthyophonus</w:t>
      </w:r>
      <w:r>
        <w:t xml:space="preserve"> genotypes in the NE Pacific Ocean. Diseases of Aquatic Organisms, 150: 61–67. </w:t>
      </w:r>
      <w:hyperlink r:id="rId10" w:history="1">
        <w:r w:rsidRPr="00A55696">
          <w:rPr>
            <w:rStyle w:val="Hyperlink"/>
          </w:rPr>
          <w:t>https://doi.org/10.3354/dao03677</w:t>
        </w:r>
      </w:hyperlink>
    </w:p>
    <w:p w14:paraId="33F1A973" w14:textId="77777777" w:rsidR="00011EB6" w:rsidRDefault="00011EB6" w:rsidP="00011E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7FE6AA6" w14:textId="77777777" w:rsidR="00E65DF7" w:rsidRPr="004358C3" w:rsidRDefault="00E65DF7" w:rsidP="00E65DF7">
      <w:pPr>
        <w:rPr>
          <w:lang w:val="nb-NO"/>
        </w:rPr>
      </w:pPr>
      <w:proofErr w:type="spellStart"/>
      <w:r w:rsidRPr="004358C3">
        <w:t>Makhsous</w:t>
      </w:r>
      <w:proofErr w:type="spellEnd"/>
      <w:r w:rsidRPr="004358C3">
        <w:t xml:space="preserve"> N, Jensen NL, Haman KH, Batts WN, Jerome KR, Winton JR, Greninger AL (2017). </w:t>
      </w:r>
      <w:r w:rsidRPr="006D4B5D">
        <w:t xml:space="preserve">Isolation and characterization of the fall Chinook </w:t>
      </w:r>
      <w:proofErr w:type="spellStart"/>
      <w:r w:rsidRPr="006D4B5D">
        <w:t>aquareovirus</w:t>
      </w:r>
      <w:proofErr w:type="spellEnd"/>
      <w:r w:rsidRPr="006D4B5D">
        <w:t xml:space="preserve">. </w:t>
      </w:r>
      <w:proofErr w:type="spellStart"/>
      <w:r w:rsidRPr="006D4B5D">
        <w:t>Virol</w:t>
      </w:r>
      <w:proofErr w:type="spellEnd"/>
      <w:r w:rsidRPr="006D4B5D">
        <w:t xml:space="preserve"> J. 2017 Sep 5;14(1):170.</w:t>
      </w:r>
      <w:r>
        <w:t xml:space="preserve"> </w:t>
      </w:r>
      <w:hyperlink r:id="rId11" w:history="1">
        <w:r w:rsidRPr="004358C3">
          <w:rPr>
            <w:rStyle w:val="Hyperlink"/>
            <w:lang w:val="nb-NO"/>
          </w:rPr>
          <w:t>https://doi.org/10.1186/s12985-017-0839-9</w:t>
        </w:r>
      </w:hyperlink>
    </w:p>
    <w:p w14:paraId="562F19D2" w14:textId="77777777" w:rsidR="00E65DF7" w:rsidRPr="004358C3" w:rsidRDefault="00E65DF7" w:rsidP="00011E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lang w:val="nb-NO"/>
        </w:rPr>
      </w:pPr>
    </w:p>
    <w:p w14:paraId="5396D68F" w14:textId="332CBBD8" w:rsidR="00011EB6" w:rsidRDefault="00011EB6" w:rsidP="00011E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r w:rsidRPr="004358C3">
        <w:rPr>
          <w:lang w:val="nb-NO"/>
        </w:rPr>
        <w:t xml:space="preserve">Marancik, D. P., &amp; Wiens, G. D. (2013). </w:t>
      </w:r>
      <w:r>
        <w:t xml:space="preserve">A real-time polymerase chain reaction assay for identification and quantification of </w:t>
      </w:r>
      <w:r w:rsidRPr="00150FA7">
        <w:rPr>
          <w:i/>
          <w:iCs/>
        </w:rPr>
        <w:t>Flavobacterium psychrophilum</w:t>
      </w:r>
      <w:r>
        <w:t xml:space="preserve"> and application to disease resistance studies in selectively bred rainbow trout Oncorhynchus mykiss. </w:t>
      </w:r>
      <w:r w:rsidRPr="006F6581">
        <w:t>FEMS microbiology letters, 339</w:t>
      </w:r>
      <w:r>
        <w:t xml:space="preserve">(2), 122–129. </w:t>
      </w:r>
      <w:hyperlink r:id="rId12" w:history="1">
        <w:r w:rsidRPr="00AD356C">
          <w:rPr>
            <w:rStyle w:val="Hyperlink"/>
          </w:rPr>
          <w:t>https://doi.org/10.1111/1574-6968.12061</w:t>
        </w:r>
      </w:hyperlink>
    </w:p>
    <w:p w14:paraId="49A55A52" w14:textId="77777777" w:rsidR="009463B1" w:rsidRDefault="009463B1" w:rsidP="00011EB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Style w:val="Hyperlink"/>
        </w:rPr>
      </w:pPr>
    </w:p>
    <w:p w14:paraId="6B457586" w14:textId="77777777" w:rsidR="009463B1" w:rsidRDefault="009463B1" w:rsidP="009463B1">
      <w:r w:rsidRPr="004C58A2">
        <w:t>Meyers, T.R., T. Burton, C. Bentz, J. Ferguson, D. Stewart,</w:t>
      </w:r>
      <w:r>
        <w:t xml:space="preserve"> &amp;</w:t>
      </w:r>
      <w:r w:rsidRPr="004C58A2">
        <w:t xml:space="preserve"> N. Starkey </w:t>
      </w:r>
      <w:r>
        <w:t>(</w:t>
      </w:r>
      <w:r w:rsidRPr="004C58A2">
        <w:t>2019</w:t>
      </w:r>
      <w:r>
        <w:t>)</w:t>
      </w:r>
      <w:r w:rsidRPr="004C58A2">
        <w:t xml:space="preserve"> Diseases of wild and cultured fishes in Alaska, Commercial Fisheries Division, Juneau, Anchorage; 3rd edition.</w:t>
      </w:r>
    </w:p>
    <w:p w14:paraId="3A15B49F" w14:textId="77777777" w:rsidR="00011EB6" w:rsidRDefault="00011EB6" w:rsidP="00D15BCD"/>
    <w:p w14:paraId="4046865A" w14:textId="77777777" w:rsidR="00011EB6" w:rsidRDefault="00011EB6" w:rsidP="00011EB6">
      <w:bookmarkStart w:id="2" w:name="_Hlk144206948"/>
      <w:r>
        <w:t xml:space="preserve">White, V.C., Morado, J.F., Crosson, L.M., </w:t>
      </w:r>
      <w:proofErr w:type="spellStart"/>
      <w:r>
        <w:t>Vadopalas</w:t>
      </w:r>
      <w:proofErr w:type="spellEnd"/>
      <w:r>
        <w:t>, B., Friedman, C.S. (2013) Development</w:t>
      </w:r>
    </w:p>
    <w:p w14:paraId="6C9D1218" w14:textId="77777777" w:rsidR="00011EB6" w:rsidRDefault="00011EB6" w:rsidP="00011EB6">
      <w:r>
        <w:t xml:space="preserve">and validation of a quantitative PCR assay for </w:t>
      </w:r>
      <w:r w:rsidRPr="00432D3F">
        <w:rPr>
          <w:i/>
          <w:iCs/>
        </w:rPr>
        <w:t>Ichthyophonus</w:t>
      </w:r>
      <w:r>
        <w:t xml:space="preserve"> spp. Dis. </w:t>
      </w:r>
      <w:proofErr w:type="spellStart"/>
      <w:r>
        <w:t>Aquat</w:t>
      </w:r>
      <w:proofErr w:type="spellEnd"/>
      <w:r>
        <w:t>. Organ. 104,</w:t>
      </w:r>
    </w:p>
    <w:p w14:paraId="7594B5B0" w14:textId="69E81E83" w:rsidR="004C58A2" w:rsidRDefault="00011EB6" w:rsidP="00011EB6">
      <w:r>
        <w:t>69-81.</w:t>
      </w:r>
      <w:bookmarkEnd w:id="2"/>
      <w:r>
        <w:t xml:space="preserve"> </w:t>
      </w:r>
      <w:hyperlink r:id="rId13" w:history="1">
        <w:r w:rsidRPr="00A55696">
          <w:rPr>
            <w:rStyle w:val="Hyperlink"/>
          </w:rPr>
          <w:t>https://doi.org/10.3354/dao02579</w:t>
        </w:r>
      </w:hyperlink>
      <w:r w:rsidRPr="00011EB6">
        <w:t xml:space="preserve"> </w:t>
      </w:r>
    </w:p>
    <w:p w14:paraId="76EC34DB" w14:textId="77777777" w:rsidR="004C58A2" w:rsidRDefault="004C58A2" w:rsidP="00011EB6"/>
    <w:p w14:paraId="55D8E9B8" w14:textId="77777777" w:rsidR="004C58A2" w:rsidRDefault="004C58A2" w:rsidP="00011EB6"/>
    <w:p w14:paraId="011408A3" w14:textId="77777777" w:rsidR="00011EB6" w:rsidRDefault="00011EB6" w:rsidP="00D15BCD"/>
    <w:p w14:paraId="2B569A71" w14:textId="77777777" w:rsidR="006D4B5D" w:rsidRDefault="006D4B5D" w:rsidP="00D15BCD"/>
    <w:p w14:paraId="67A9D5C0" w14:textId="26EE9F00" w:rsidR="006D4B5D" w:rsidRDefault="006D4B5D" w:rsidP="00D15BCD">
      <w:r w:rsidRPr="006D4B5D">
        <w:t xml:space="preserve"> </w:t>
      </w:r>
    </w:p>
    <w:p w14:paraId="5D82F854" w14:textId="77777777" w:rsidR="006D4B5D" w:rsidRDefault="006D4B5D" w:rsidP="00D15BCD"/>
    <w:p w14:paraId="734D7DF2" w14:textId="4AADFAF9" w:rsidR="006D4B5D" w:rsidRPr="00D15BCD" w:rsidRDefault="006D4B5D" w:rsidP="00D15BCD"/>
    <w:sectPr w:rsidR="006D4B5D" w:rsidRPr="00D15BCD" w:rsidSect="005F0B4D">
      <w:footerReference w:type="default" r:id="rId14"/>
      <w:pgSz w:w="12240" w:h="15840" w:code="1"/>
      <w:pgMar w:top="1440"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F2B04" w14:textId="77777777" w:rsidR="0072683D" w:rsidRDefault="0072683D">
      <w:r>
        <w:separator/>
      </w:r>
    </w:p>
  </w:endnote>
  <w:endnote w:type="continuationSeparator" w:id="0">
    <w:p w14:paraId="65CAB5D4" w14:textId="77777777" w:rsidR="0072683D" w:rsidRDefault="0072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44122" w14:textId="25ADF07D" w:rsidR="00914984" w:rsidRDefault="00902A2E">
    <w:pPr>
      <w:pStyle w:val="Footer"/>
    </w:pPr>
    <w:r>
      <w:t xml:space="preserve">ACCESSION No.  </w:t>
    </w:r>
    <w:r w:rsidR="00186508">
      <w:t>20</w:t>
    </w:r>
    <w:r w:rsidR="00401C9F">
      <w:t>2</w:t>
    </w:r>
    <w:r w:rsidR="008E1C9C">
      <w:t>5</w:t>
    </w:r>
    <w:r>
      <w:t>-0</w:t>
    </w:r>
    <w:r w:rsidR="004B2783">
      <w:t>0</w:t>
    </w:r>
    <w:r w:rsidR="009407B6">
      <w:t>14</w:t>
    </w:r>
    <w:r w:rsidR="004D43E8">
      <w:t xml:space="preserve"> Addendum</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401C9F">
      <w:rPr>
        <w:rStyle w:val="PageNumber"/>
        <w:noProof/>
      </w:rPr>
      <w:t>1</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BF226" w14:textId="77777777" w:rsidR="0072683D" w:rsidRDefault="0072683D">
      <w:r>
        <w:separator/>
      </w:r>
    </w:p>
  </w:footnote>
  <w:footnote w:type="continuationSeparator" w:id="0">
    <w:p w14:paraId="3BA35111" w14:textId="77777777" w:rsidR="0072683D" w:rsidRDefault="0072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80"/>
    <w:rsid w:val="00001532"/>
    <w:rsid w:val="00011EB6"/>
    <w:rsid w:val="0002232F"/>
    <w:rsid w:val="00042540"/>
    <w:rsid w:val="0005386C"/>
    <w:rsid w:val="0006473E"/>
    <w:rsid w:val="000659A7"/>
    <w:rsid w:val="00067DFA"/>
    <w:rsid w:val="00070C35"/>
    <w:rsid w:val="00071320"/>
    <w:rsid w:val="00083DEE"/>
    <w:rsid w:val="00087017"/>
    <w:rsid w:val="000901E0"/>
    <w:rsid w:val="00091923"/>
    <w:rsid w:val="00095642"/>
    <w:rsid w:val="000C40E2"/>
    <w:rsid w:val="000D4C77"/>
    <w:rsid w:val="00120CC9"/>
    <w:rsid w:val="0014451A"/>
    <w:rsid w:val="00144C72"/>
    <w:rsid w:val="00167F40"/>
    <w:rsid w:val="00172A97"/>
    <w:rsid w:val="00177AFC"/>
    <w:rsid w:val="00186508"/>
    <w:rsid w:val="001A50E1"/>
    <w:rsid w:val="001C2C8F"/>
    <w:rsid w:val="001C5B9C"/>
    <w:rsid w:val="001D4418"/>
    <w:rsid w:val="001D6AA7"/>
    <w:rsid w:val="001F59AE"/>
    <w:rsid w:val="00205092"/>
    <w:rsid w:val="002315D4"/>
    <w:rsid w:val="002440B3"/>
    <w:rsid w:val="00294B1E"/>
    <w:rsid w:val="002A4C91"/>
    <w:rsid w:val="002D6194"/>
    <w:rsid w:val="002D77C8"/>
    <w:rsid w:val="002E036F"/>
    <w:rsid w:val="002E08CC"/>
    <w:rsid w:val="002F6A32"/>
    <w:rsid w:val="002F6FB8"/>
    <w:rsid w:val="00313C14"/>
    <w:rsid w:val="003209AF"/>
    <w:rsid w:val="00327828"/>
    <w:rsid w:val="00331F70"/>
    <w:rsid w:val="00332DC9"/>
    <w:rsid w:val="00333EED"/>
    <w:rsid w:val="003525E7"/>
    <w:rsid w:val="00355AF7"/>
    <w:rsid w:val="00366DD0"/>
    <w:rsid w:val="00391522"/>
    <w:rsid w:val="00397753"/>
    <w:rsid w:val="003A0B1D"/>
    <w:rsid w:val="003A761D"/>
    <w:rsid w:val="003C4550"/>
    <w:rsid w:val="003E1DEF"/>
    <w:rsid w:val="003F1FBC"/>
    <w:rsid w:val="003F3E14"/>
    <w:rsid w:val="00401C9F"/>
    <w:rsid w:val="0040517D"/>
    <w:rsid w:val="00416555"/>
    <w:rsid w:val="004310F4"/>
    <w:rsid w:val="00431154"/>
    <w:rsid w:val="004358C3"/>
    <w:rsid w:val="00463440"/>
    <w:rsid w:val="00476E27"/>
    <w:rsid w:val="0048035E"/>
    <w:rsid w:val="00487F8A"/>
    <w:rsid w:val="004B2783"/>
    <w:rsid w:val="004B3352"/>
    <w:rsid w:val="004C4E99"/>
    <w:rsid w:val="004C58A2"/>
    <w:rsid w:val="004D43E8"/>
    <w:rsid w:val="004E2BE9"/>
    <w:rsid w:val="004E4279"/>
    <w:rsid w:val="004E4F7F"/>
    <w:rsid w:val="00507154"/>
    <w:rsid w:val="00511E2E"/>
    <w:rsid w:val="00517D61"/>
    <w:rsid w:val="005235C8"/>
    <w:rsid w:val="00542D19"/>
    <w:rsid w:val="00557F9B"/>
    <w:rsid w:val="00563825"/>
    <w:rsid w:val="005A6278"/>
    <w:rsid w:val="005B0E5B"/>
    <w:rsid w:val="005B5F57"/>
    <w:rsid w:val="005B755B"/>
    <w:rsid w:val="005D5EB0"/>
    <w:rsid w:val="005E05C2"/>
    <w:rsid w:val="005E1600"/>
    <w:rsid w:val="005F0B4D"/>
    <w:rsid w:val="005F6E22"/>
    <w:rsid w:val="0060792F"/>
    <w:rsid w:val="006567F5"/>
    <w:rsid w:val="00665DDD"/>
    <w:rsid w:val="00680DAF"/>
    <w:rsid w:val="0068103F"/>
    <w:rsid w:val="00685AF5"/>
    <w:rsid w:val="006C76C0"/>
    <w:rsid w:val="006D0F82"/>
    <w:rsid w:val="006D4B5D"/>
    <w:rsid w:val="006F4E0D"/>
    <w:rsid w:val="006F6A49"/>
    <w:rsid w:val="00703602"/>
    <w:rsid w:val="00713B0E"/>
    <w:rsid w:val="00715A3A"/>
    <w:rsid w:val="0072683D"/>
    <w:rsid w:val="00734E0F"/>
    <w:rsid w:val="0074522C"/>
    <w:rsid w:val="007533C6"/>
    <w:rsid w:val="00764AFB"/>
    <w:rsid w:val="007733A9"/>
    <w:rsid w:val="0078438A"/>
    <w:rsid w:val="007861E2"/>
    <w:rsid w:val="007931D9"/>
    <w:rsid w:val="007A3ADC"/>
    <w:rsid w:val="007A5398"/>
    <w:rsid w:val="007B46CC"/>
    <w:rsid w:val="007C1765"/>
    <w:rsid w:val="007C2BE0"/>
    <w:rsid w:val="007C6D6D"/>
    <w:rsid w:val="007E1BF8"/>
    <w:rsid w:val="007E2C17"/>
    <w:rsid w:val="007F62D8"/>
    <w:rsid w:val="00802E22"/>
    <w:rsid w:val="00823FC7"/>
    <w:rsid w:val="00845710"/>
    <w:rsid w:val="008573D0"/>
    <w:rsid w:val="00861BCE"/>
    <w:rsid w:val="0086244C"/>
    <w:rsid w:val="00875B8A"/>
    <w:rsid w:val="00875E08"/>
    <w:rsid w:val="008816E3"/>
    <w:rsid w:val="00882AB0"/>
    <w:rsid w:val="008C5BCF"/>
    <w:rsid w:val="008E1C9C"/>
    <w:rsid w:val="00902A2E"/>
    <w:rsid w:val="00903152"/>
    <w:rsid w:val="00914984"/>
    <w:rsid w:val="0094077E"/>
    <w:rsid w:val="009407B6"/>
    <w:rsid w:val="00945B21"/>
    <w:rsid w:val="009463B1"/>
    <w:rsid w:val="00947CCE"/>
    <w:rsid w:val="0095397A"/>
    <w:rsid w:val="0097574D"/>
    <w:rsid w:val="00985EA7"/>
    <w:rsid w:val="009904C7"/>
    <w:rsid w:val="009B3560"/>
    <w:rsid w:val="009C1D1B"/>
    <w:rsid w:val="009D0B57"/>
    <w:rsid w:val="009D270B"/>
    <w:rsid w:val="009E5A42"/>
    <w:rsid w:val="009E7B2D"/>
    <w:rsid w:val="009F033B"/>
    <w:rsid w:val="00A10DE8"/>
    <w:rsid w:val="00A13E08"/>
    <w:rsid w:val="00A34810"/>
    <w:rsid w:val="00A40A80"/>
    <w:rsid w:val="00A52AD2"/>
    <w:rsid w:val="00A55B44"/>
    <w:rsid w:val="00A827DC"/>
    <w:rsid w:val="00A942FF"/>
    <w:rsid w:val="00A96C1E"/>
    <w:rsid w:val="00AC3BD1"/>
    <w:rsid w:val="00AD687F"/>
    <w:rsid w:val="00AF0FB4"/>
    <w:rsid w:val="00B12082"/>
    <w:rsid w:val="00B30901"/>
    <w:rsid w:val="00B40E28"/>
    <w:rsid w:val="00B444AC"/>
    <w:rsid w:val="00B50DF5"/>
    <w:rsid w:val="00B525BA"/>
    <w:rsid w:val="00B84F8E"/>
    <w:rsid w:val="00B86E6F"/>
    <w:rsid w:val="00BA578D"/>
    <w:rsid w:val="00BA5FD9"/>
    <w:rsid w:val="00BC2A78"/>
    <w:rsid w:val="00BD1D2C"/>
    <w:rsid w:val="00BD3D23"/>
    <w:rsid w:val="00BE2051"/>
    <w:rsid w:val="00BE2E07"/>
    <w:rsid w:val="00C12B48"/>
    <w:rsid w:val="00C14D0D"/>
    <w:rsid w:val="00C3399E"/>
    <w:rsid w:val="00C34C0F"/>
    <w:rsid w:val="00C3691B"/>
    <w:rsid w:val="00C4699B"/>
    <w:rsid w:val="00C51CBA"/>
    <w:rsid w:val="00C529DC"/>
    <w:rsid w:val="00C657DF"/>
    <w:rsid w:val="00C82028"/>
    <w:rsid w:val="00C90F81"/>
    <w:rsid w:val="00CB240D"/>
    <w:rsid w:val="00CC3D4C"/>
    <w:rsid w:val="00CD15CF"/>
    <w:rsid w:val="00CD1B42"/>
    <w:rsid w:val="00CD726B"/>
    <w:rsid w:val="00CE1C4E"/>
    <w:rsid w:val="00CF6806"/>
    <w:rsid w:val="00CF6DE6"/>
    <w:rsid w:val="00D00E72"/>
    <w:rsid w:val="00D11100"/>
    <w:rsid w:val="00D13239"/>
    <w:rsid w:val="00D15BCD"/>
    <w:rsid w:val="00D204E2"/>
    <w:rsid w:val="00D33AB6"/>
    <w:rsid w:val="00D915AD"/>
    <w:rsid w:val="00DA579C"/>
    <w:rsid w:val="00DA7565"/>
    <w:rsid w:val="00DC6A36"/>
    <w:rsid w:val="00DD0057"/>
    <w:rsid w:val="00DD2493"/>
    <w:rsid w:val="00E00940"/>
    <w:rsid w:val="00E023D3"/>
    <w:rsid w:val="00E11E05"/>
    <w:rsid w:val="00E14D9D"/>
    <w:rsid w:val="00E353B0"/>
    <w:rsid w:val="00E45A84"/>
    <w:rsid w:val="00E65DF7"/>
    <w:rsid w:val="00E7129D"/>
    <w:rsid w:val="00E72E99"/>
    <w:rsid w:val="00E741CD"/>
    <w:rsid w:val="00E828EF"/>
    <w:rsid w:val="00E84A0F"/>
    <w:rsid w:val="00EA26D2"/>
    <w:rsid w:val="00EB663F"/>
    <w:rsid w:val="00EC1DC5"/>
    <w:rsid w:val="00F1161C"/>
    <w:rsid w:val="00F2629D"/>
    <w:rsid w:val="00F56DAF"/>
    <w:rsid w:val="00F61BB9"/>
    <w:rsid w:val="00FC69D6"/>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C68EB"/>
  <w15:docId w15:val="{8A3AD5B1-5E0C-42CB-A12E-D77D489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B4D"/>
    <w:rPr>
      <w:rFonts w:ascii="Arial" w:hAnsi="Arial"/>
    </w:rPr>
  </w:style>
  <w:style w:type="paragraph" w:styleId="Heading1">
    <w:name w:val="heading 1"/>
    <w:basedOn w:val="Normal"/>
    <w:next w:val="Normal"/>
    <w:link w:val="Heading1Char"/>
    <w:qFormat/>
    <w:rsid w:val="00011E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rsid w:val="005F0B4D"/>
    <w:pPr>
      <w:tabs>
        <w:tab w:val="center" w:pos="4320"/>
        <w:tab w:val="right" w:pos="8640"/>
      </w:tabs>
    </w:pPr>
    <w:rPr>
      <w:sz w:val="16"/>
    </w:rPr>
  </w:style>
  <w:style w:type="character" w:styleId="PageNumber">
    <w:name w:val="page number"/>
    <w:basedOn w:val="DefaultParagraphFont"/>
    <w:rsid w:val="005F0B4D"/>
  </w:style>
  <w:style w:type="table" w:styleId="TableGrid">
    <w:name w:val="Table Grid"/>
    <w:basedOn w:val="TableNormal"/>
    <w:uiPriority w:val="39"/>
    <w:rsid w:val="00067D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27828"/>
    <w:pPr>
      <w:spacing w:after="200"/>
    </w:pPr>
    <w:rPr>
      <w:i/>
      <w:iCs/>
      <w:color w:val="1F497D" w:themeColor="text2"/>
      <w:sz w:val="18"/>
      <w:szCs w:val="18"/>
    </w:rPr>
  </w:style>
  <w:style w:type="character" w:styleId="Hyperlink">
    <w:name w:val="Hyperlink"/>
    <w:basedOn w:val="DefaultParagraphFont"/>
    <w:unhideWhenUsed/>
    <w:rsid w:val="00CC3D4C"/>
    <w:rPr>
      <w:color w:val="0000FF" w:themeColor="hyperlink"/>
      <w:u w:val="single"/>
    </w:rPr>
  </w:style>
  <w:style w:type="character" w:styleId="UnresolvedMention">
    <w:name w:val="Unresolved Mention"/>
    <w:basedOn w:val="DefaultParagraphFont"/>
    <w:uiPriority w:val="99"/>
    <w:semiHidden/>
    <w:unhideWhenUsed/>
    <w:rsid w:val="00011EB6"/>
    <w:rPr>
      <w:color w:val="605E5C"/>
      <w:shd w:val="clear" w:color="auto" w:fill="E1DFDD"/>
    </w:rPr>
  </w:style>
  <w:style w:type="character" w:customStyle="1" w:styleId="Heading1Char">
    <w:name w:val="Heading 1 Char"/>
    <w:basedOn w:val="DefaultParagraphFont"/>
    <w:link w:val="Heading1"/>
    <w:rsid w:val="00011EB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semiHidden/>
    <w:unhideWhenUsed/>
    <w:rsid w:val="004E4279"/>
    <w:rPr>
      <w:sz w:val="16"/>
      <w:szCs w:val="16"/>
    </w:rPr>
  </w:style>
  <w:style w:type="paragraph" w:styleId="CommentText">
    <w:name w:val="annotation text"/>
    <w:basedOn w:val="Normal"/>
    <w:link w:val="CommentTextChar"/>
    <w:unhideWhenUsed/>
    <w:rsid w:val="004E4279"/>
  </w:style>
  <w:style w:type="character" w:customStyle="1" w:styleId="CommentTextChar">
    <w:name w:val="Comment Text Char"/>
    <w:basedOn w:val="DefaultParagraphFont"/>
    <w:link w:val="CommentText"/>
    <w:rsid w:val="004E4279"/>
    <w:rPr>
      <w:rFonts w:ascii="Arial" w:hAnsi="Arial"/>
    </w:rPr>
  </w:style>
  <w:style w:type="paragraph" w:styleId="CommentSubject">
    <w:name w:val="annotation subject"/>
    <w:basedOn w:val="CommentText"/>
    <w:next w:val="CommentText"/>
    <w:link w:val="CommentSubjectChar"/>
    <w:semiHidden/>
    <w:unhideWhenUsed/>
    <w:rsid w:val="004E4279"/>
    <w:rPr>
      <w:b/>
      <w:bCs/>
    </w:rPr>
  </w:style>
  <w:style w:type="character" w:customStyle="1" w:styleId="CommentSubjectChar">
    <w:name w:val="Comment Subject Char"/>
    <w:basedOn w:val="CommentTextChar"/>
    <w:link w:val="CommentSubject"/>
    <w:semiHidden/>
    <w:rsid w:val="004E42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3604">
      <w:bodyDiv w:val="1"/>
      <w:marLeft w:val="0"/>
      <w:marRight w:val="0"/>
      <w:marTop w:val="0"/>
      <w:marBottom w:val="0"/>
      <w:divBdr>
        <w:top w:val="none" w:sz="0" w:space="0" w:color="auto"/>
        <w:left w:val="none" w:sz="0" w:space="0" w:color="auto"/>
        <w:bottom w:val="none" w:sz="0" w:space="0" w:color="auto"/>
        <w:right w:val="none" w:sz="0" w:space="0" w:color="auto"/>
      </w:divBdr>
    </w:div>
    <w:div w:id="162745100">
      <w:bodyDiv w:val="1"/>
      <w:marLeft w:val="0"/>
      <w:marRight w:val="0"/>
      <w:marTop w:val="0"/>
      <w:marBottom w:val="0"/>
      <w:divBdr>
        <w:top w:val="none" w:sz="0" w:space="0" w:color="auto"/>
        <w:left w:val="none" w:sz="0" w:space="0" w:color="auto"/>
        <w:bottom w:val="none" w:sz="0" w:space="0" w:color="auto"/>
        <w:right w:val="none" w:sz="0" w:space="0" w:color="auto"/>
      </w:divBdr>
    </w:div>
    <w:div w:id="1230770191">
      <w:bodyDiv w:val="1"/>
      <w:marLeft w:val="0"/>
      <w:marRight w:val="0"/>
      <w:marTop w:val="0"/>
      <w:marBottom w:val="0"/>
      <w:divBdr>
        <w:top w:val="none" w:sz="0" w:space="0" w:color="auto"/>
        <w:left w:val="none" w:sz="0" w:space="0" w:color="auto"/>
        <w:bottom w:val="none" w:sz="0" w:space="0" w:color="auto"/>
        <w:right w:val="none" w:sz="0" w:space="0" w:color="auto"/>
      </w:divBdr>
    </w:div>
    <w:div w:id="1255822117">
      <w:bodyDiv w:val="1"/>
      <w:marLeft w:val="0"/>
      <w:marRight w:val="0"/>
      <w:marTop w:val="0"/>
      <w:marBottom w:val="0"/>
      <w:divBdr>
        <w:top w:val="none" w:sz="0" w:space="0" w:color="auto"/>
        <w:left w:val="none" w:sz="0" w:space="0" w:color="auto"/>
        <w:bottom w:val="none" w:sz="0" w:space="0" w:color="auto"/>
        <w:right w:val="none" w:sz="0" w:space="0" w:color="auto"/>
      </w:divBdr>
    </w:div>
    <w:div w:id="1265528436">
      <w:bodyDiv w:val="1"/>
      <w:marLeft w:val="0"/>
      <w:marRight w:val="0"/>
      <w:marTop w:val="0"/>
      <w:marBottom w:val="0"/>
      <w:divBdr>
        <w:top w:val="none" w:sz="0" w:space="0" w:color="auto"/>
        <w:left w:val="none" w:sz="0" w:space="0" w:color="auto"/>
        <w:bottom w:val="none" w:sz="0" w:space="0" w:color="auto"/>
        <w:right w:val="none" w:sz="0" w:space="0" w:color="auto"/>
      </w:divBdr>
    </w:div>
    <w:div w:id="1647779405">
      <w:bodyDiv w:val="1"/>
      <w:marLeft w:val="0"/>
      <w:marRight w:val="0"/>
      <w:marTop w:val="0"/>
      <w:marBottom w:val="0"/>
      <w:divBdr>
        <w:top w:val="none" w:sz="0" w:space="0" w:color="auto"/>
        <w:left w:val="none" w:sz="0" w:space="0" w:color="auto"/>
        <w:bottom w:val="none" w:sz="0" w:space="0" w:color="auto"/>
        <w:right w:val="none" w:sz="0" w:space="0" w:color="auto"/>
      </w:divBdr>
    </w:div>
    <w:div w:id="1810437229">
      <w:bodyDiv w:val="1"/>
      <w:marLeft w:val="0"/>
      <w:marRight w:val="0"/>
      <w:marTop w:val="0"/>
      <w:marBottom w:val="0"/>
      <w:divBdr>
        <w:top w:val="none" w:sz="0" w:space="0" w:color="auto"/>
        <w:left w:val="none" w:sz="0" w:space="0" w:color="auto"/>
        <w:bottom w:val="none" w:sz="0" w:space="0" w:color="auto"/>
        <w:right w:val="none" w:sz="0" w:space="0" w:color="auto"/>
      </w:divBdr>
    </w:div>
    <w:div w:id="20852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4063870601800409" TargetMode="External"/><Relationship Id="rId13" Type="http://schemas.openxmlformats.org/officeDocument/2006/relationships/hyperlink" Target="https://doi.org/10.3354/dao02579" TargetMode="External"/><Relationship Id="rId3" Type="http://schemas.openxmlformats.org/officeDocument/2006/relationships/webSettings" Target="webSettings.xml"/><Relationship Id="rId7" Type="http://schemas.openxmlformats.org/officeDocument/2006/relationships/hyperlink" Target="https://doi.org/10.1017/S0031182009005800" TargetMode="External"/><Relationship Id="rId12" Type="http://schemas.openxmlformats.org/officeDocument/2006/relationships/hyperlink" Target="https://doi.org/10.1111/1574-6968.1206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https://doi.org/10.1186/s12985-017-0839-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3354/dao03677" TargetMode="External"/><Relationship Id="rId4" Type="http://schemas.openxmlformats.org/officeDocument/2006/relationships/footnotes" Target="footnotes.xml"/><Relationship Id="rId9" Type="http://schemas.openxmlformats.org/officeDocument/2006/relationships/hyperlink" Target="https://doi.org/10.3354/dao0357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2643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2</cp:revision>
  <cp:lastPrinted>1998-06-11T17:47:00Z</cp:lastPrinted>
  <dcterms:created xsi:type="dcterms:W3CDTF">2025-01-06T20:20:00Z</dcterms:created>
  <dcterms:modified xsi:type="dcterms:W3CDTF">2025-01-06T20:20:00Z</dcterms:modified>
</cp:coreProperties>
</file>